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A01963" w:rsidRPr="008C74DA" w:rsidRDefault="00A01963" w:rsidP="00A01963">
      <w:pPr>
        <w:framePr w:w="11906" w:h="393" w:hRule="exact" w:hSpace="141" w:wrap="around" w:vAnchor="text" w:hAnchor="page" w:x="1" w:y="15275"/>
        <w:shd w:val="clear" w:color="auto" w:fill="FF0000"/>
        <w:spacing w:line="360" w:lineRule="auto"/>
        <w:rPr>
          <w:lang w:val="en-US"/>
        </w:rPr>
      </w:pPr>
    </w:p>
    <w:p w:rsidR="002A1CC1" w:rsidRPr="00241955" w:rsidRDefault="002A1CC1" w:rsidP="002A1CC1">
      <w:pPr>
        <w:ind w:left="4770"/>
        <w:jc w:val="right"/>
        <w:rPr>
          <w:color w:val="000000" w:themeColor="text1"/>
          <w:sz w:val="22"/>
          <w:szCs w:val="22"/>
          <w:lang w:val="en-US"/>
        </w:rPr>
      </w:pPr>
      <w:r w:rsidRPr="00241955">
        <w:rPr>
          <w:color w:val="000000" w:themeColor="text1"/>
          <w:sz w:val="22"/>
          <w:szCs w:val="22"/>
          <w:lang w:val="en-US"/>
        </w:rPr>
        <w:t>Frankfurt, March 20, 2013</w:t>
      </w:r>
    </w:p>
    <w:p w:rsidR="002A1CC1" w:rsidRPr="00241955" w:rsidRDefault="002A1CC1" w:rsidP="002A1CC1">
      <w:pPr>
        <w:rPr>
          <w:color w:val="000000" w:themeColor="text1"/>
          <w:sz w:val="22"/>
          <w:szCs w:val="22"/>
          <w:lang w:val="en-US"/>
        </w:rPr>
      </w:pPr>
    </w:p>
    <w:p w:rsidR="002A1CC1" w:rsidRPr="00241955" w:rsidRDefault="002A1CC1" w:rsidP="002A1CC1">
      <w:pPr>
        <w:rPr>
          <w:color w:val="000000" w:themeColor="text1"/>
          <w:sz w:val="22"/>
          <w:szCs w:val="22"/>
          <w:lang w:val="en-US"/>
        </w:rPr>
      </w:pPr>
    </w:p>
    <w:p w:rsidR="002A1CC1" w:rsidRPr="00241955" w:rsidRDefault="002A1CC1" w:rsidP="002A1CC1">
      <w:pPr>
        <w:rPr>
          <w:b/>
          <w:bCs/>
          <w:lang w:val="en-US"/>
        </w:rPr>
      </w:pPr>
      <w:r w:rsidRPr="00241955">
        <w:rPr>
          <w:b/>
          <w:bCs/>
          <w:lang w:val="en-US"/>
        </w:rPr>
        <w:t>Inno</w:t>
      </w:r>
      <w:r>
        <w:rPr>
          <w:b/>
          <w:bCs/>
          <w:lang w:val="en-US"/>
        </w:rPr>
        <w:t>v</w:t>
      </w:r>
      <w:r w:rsidRPr="00241955">
        <w:rPr>
          <w:b/>
          <w:bCs/>
          <w:lang w:val="en-US"/>
        </w:rPr>
        <w:t>ations I</w:t>
      </w:r>
    </w:p>
    <w:p w:rsidR="002A1CC1" w:rsidRPr="00241955" w:rsidRDefault="002A1CC1" w:rsidP="002A1CC1">
      <w:pPr>
        <w:rPr>
          <w:b/>
          <w:bCs/>
          <w:lang w:val="en-US"/>
        </w:rPr>
      </w:pPr>
    </w:p>
    <w:p w:rsidR="002A1CC1" w:rsidRPr="00241955" w:rsidRDefault="002A1CC1" w:rsidP="002A1CC1">
      <w:pPr>
        <w:rPr>
          <w:b/>
          <w:sz w:val="22"/>
          <w:szCs w:val="22"/>
          <w:lang w:val="en-US"/>
        </w:rPr>
      </w:pPr>
      <w:r w:rsidRPr="00241955">
        <w:rPr>
          <w:b/>
          <w:sz w:val="22"/>
          <w:szCs w:val="22"/>
          <w:lang w:val="en-US"/>
        </w:rPr>
        <w:t xml:space="preserve">Consumer electronics: </w:t>
      </w:r>
      <w:r>
        <w:rPr>
          <w:b/>
          <w:sz w:val="22"/>
          <w:szCs w:val="22"/>
          <w:lang w:val="en-US"/>
        </w:rPr>
        <w:t>strong growth in the mobile phone and tablet market</w:t>
      </w:r>
      <w:r w:rsidRPr="00241955">
        <w:rPr>
          <w:b/>
          <w:sz w:val="22"/>
          <w:szCs w:val="22"/>
          <w:lang w:val="en-US"/>
        </w:rPr>
        <w:t xml:space="preserve"> –</w:t>
      </w:r>
      <w:r>
        <w:rPr>
          <w:b/>
          <w:sz w:val="22"/>
          <w:szCs w:val="22"/>
          <w:lang w:val="en-US"/>
        </w:rPr>
        <w:t xml:space="preserve"> s</w:t>
      </w:r>
      <w:r w:rsidRPr="00241955">
        <w:rPr>
          <w:b/>
          <w:sz w:val="22"/>
          <w:szCs w:val="22"/>
          <w:lang w:val="en-US"/>
        </w:rPr>
        <w:t>pecial</w:t>
      </w:r>
      <w:r>
        <w:rPr>
          <w:b/>
          <w:sz w:val="22"/>
          <w:szCs w:val="22"/>
          <w:lang w:val="en-US"/>
        </w:rPr>
        <w:t xml:space="preserve"> adhesive tapes used as speaker cones</w:t>
      </w:r>
    </w:p>
    <w:p w:rsidR="002A1CC1" w:rsidRPr="00241955" w:rsidRDefault="002A1CC1" w:rsidP="002A1CC1">
      <w:pPr>
        <w:rPr>
          <w:b/>
          <w:lang w:val="en-US"/>
        </w:rPr>
      </w:pPr>
    </w:p>
    <w:p w:rsidR="002A1CC1" w:rsidRDefault="002A1CC1" w:rsidP="002A1CC1">
      <w:pPr>
        <w:rPr>
          <w:sz w:val="22"/>
          <w:szCs w:val="22"/>
          <w:lang w:val="en-US"/>
        </w:rPr>
      </w:pPr>
      <w:r>
        <w:rPr>
          <w:sz w:val="22"/>
          <w:szCs w:val="22"/>
          <w:lang w:val="en-US"/>
        </w:rPr>
        <w:t>The consumer electronics segment remains one of the most important dri</w:t>
      </w:r>
      <w:r>
        <w:rPr>
          <w:sz w:val="22"/>
          <w:szCs w:val="22"/>
          <w:lang w:val="en-US"/>
        </w:rPr>
        <w:t>v</w:t>
      </w:r>
      <w:r>
        <w:rPr>
          <w:sz w:val="22"/>
          <w:szCs w:val="22"/>
          <w:lang w:val="en-US"/>
        </w:rPr>
        <w:t xml:space="preserve">ers of </w:t>
      </w:r>
      <w:proofErr w:type="spellStart"/>
      <w:r>
        <w:rPr>
          <w:sz w:val="22"/>
          <w:szCs w:val="22"/>
          <w:lang w:val="en-US"/>
        </w:rPr>
        <w:t>tesa’s</w:t>
      </w:r>
      <w:proofErr w:type="spellEnd"/>
      <w:r>
        <w:rPr>
          <w:sz w:val="22"/>
          <w:szCs w:val="22"/>
          <w:lang w:val="en-US"/>
        </w:rPr>
        <w:t xml:space="preserve"> industrial business. For example, the company achieved more than 33 percent growth with its adhesive tape solutions in the mobile phone segment in 2012. The reasons: tesa is optimally positioned to develop i</w:t>
      </w:r>
      <w:r>
        <w:rPr>
          <w:sz w:val="22"/>
          <w:szCs w:val="22"/>
          <w:lang w:val="en-US"/>
        </w:rPr>
        <w:t>n</w:t>
      </w:r>
      <w:r>
        <w:rPr>
          <w:sz w:val="22"/>
          <w:szCs w:val="22"/>
          <w:lang w:val="en-US"/>
        </w:rPr>
        <w:t xml:space="preserve">novative adhesive tape products within just a short time, through its close cooperation with suppliers to global players. As devices grow increasingly small and lightweight, but also pack in greater performance capacity than before, the future, like the present, also offers a large number of potential applications for high-performance tapes used not only to bond components, but also to handle numerous additional functions such as light and heat management. In 2012, tesa landed major contracts in the booming </w:t>
      </w:r>
      <w:proofErr w:type="spellStart"/>
      <w:r>
        <w:rPr>
          <w:sz w:val="22"/>
          <w:szCs w:val="22"/>
          <w:lang w:val="en-US"/>
        </w:rPr>
        <w:t>smar</w:t>
      </w:r>
      <w:r>
        <w:rPr>
          <w:sz w:val="22"/>
          <w:szCs w:val="22"/>
          <w:lang w:val="en-US"/>
        </w:rPr>
        <w:t>t</w:t>
      </w:r>
      <w:r>
        <w:rPr>
          <w:sz w:val="22"/>
          <w:szCs w:val="22"/>
          <w:lang w:val="en-US"/>
        </w:rPr>
        <w:t>phone</w:t>
      </w:r>
      <w:proofErr w:type="spellEnd"/>
      <w:r>
        <w:rPr>
          <w:sz w:val="22"/>
          <w:szCs w:val="22"/>
          <w:lang w:val="en-US"/>
        </w:rPr>
        <w:t xml:space="preserve"> market, and also expanded its presence in the tablet segment, e</w:t>
      </w:r>
      <w:r>
        <w:rPr>
          <w:sz w:val="22"/>
          <w:szCs w:val="22"/>
          <w:lang w:val="en-US"/>
        </w:rPr>
        <w:t>s</w:t>
      </w:r>
      <w:r>
        <w:rPr>
          <w:sz w:val="22"/>
          <w:szCs w:val="22"/>
          <w:lang w:val="en-US"/>
        </w:rPr>
        <w:t>pecially in South Korea and China. Just recently, tesa edged out the co</w:t>
      </w:r>
      <w:r>
        <w:rPr>
          <w:sz w:val="22"/>
          <w:szCs w:val="22"/>
          <w:lang w:val="en-US"/>
        </w:rPr>
        <w:t>m</w:t>
      </w:r>
      <w:r>
        <w:rPr>
          <w:sz w:val="22"/>
          <w:szCs w:val="22"/>
          <w:lang w:val="en-US"/>
        </w:rPr>
        <w:t>petition to win a contract worth millions for the production of special electr</w:t>
      </w:r>
      <w:r>
        <w:rPr>
          <w:sz w:val="22"/>
          <w:szCs w:val="22"/>
          <w:lang w:val="en-US"/>
        </w:rPr>
        <w:t>i</w:t>
      </w:r>
      <w:r>
        <w:rPr>
          <w:sz w:val="22"/>
          <w:szCs w:val="22"/>
          <w:lang w:val="en-US"/>
        </w:rPr>
        <w:t xml:space="preserve">cally conductive tapes. The brand has long been a strong presence when it comes to secure adhesive bonding of touch displays in </w:t>
      </w:r>
      <w:proofErr w:type="spellStart"/>
      <w:r>
        <w:rPr>
          <w:sz w:val="22"/>
          <w:szCs w:val="22"/>
          <w:lang w:val="en-US"/>
        </w:rPr>
        <w:t>smartphones</w:t>
      </w:r>
      <w:proofErr w:type="spellEnd"/>
      <w:r>
        <w:rPr>
          <w:sz w:val="22"/>
          <w:szCs w:val="22"/>
          <w:lang w:val="en-US"/>
        </w:rPr>
        <w:t xml:space="preserve"> and tablets.</w:t>
      </w:r>
    </w:p>
    <w:p w:rsidR="002A1CC1" w:rsidRDefault="002A1CC1" w:rsidP="002A1CC1">
      <w:pPr>
        <w:rPr>
          <w:sz w:val="22"/>
          <w:szCs w:val="22"/>
          <w:lang w:val="en-US"/>
        </w:rPr>
      </w:pPr>
    </w:p>
    <w:p w:rsidR="002A1CC1" w:rsidRPr="00241955" w:rsidRDefault="002A1CC1" w:rsidP="002A1CC1">
      <w:pPr>
        <w:rPr>
          <w:b/>
          <w:sz w:val="22"/>
          <w:szCs w:val="22"/>
          <w:lang w:val="en-US"/>
        </w:rPr>
      </w:pPr>
      <w:r w:rsidRPr="00241955">
        <w:rPr>
          <w:b/>
          <w:bCs/>
          <w:sz w:val="22"/>
          <w:szCs w:val="22"/>
          <w:lang w:val="en-US"/>
        </w:rPr>
        <w:t>Complex sound compositions</w:t>
      </w:r>
    </w:p>
    <w:p w:rsidR="002A1CC1" w:rsidRPr="00241955" w:rsidRDefault="002A1CC1" w:rsidP="002A1CC1">
      <w:pPr>
        <w:rPr>
          <w:sz w:val="22"/>
          <w:szCs w:val="22"/>
          <w:lang w:val="en-US"/>
        </w:rPr>
      </w:pPr>
      <w:r w:rsidRPr="00241955">
        <w:rPr>
          <w:sz w:val="22"/>
          <w:szCs w:val="22"/>
          <w:lang w:val="en-US"/>
        </w:rPr>
        <w:t xml:space="preserve">There are also </w:t>
      </w:r>
      <w:r>
        <w:rPr>
          <w:sz w:val="22"/>
          <w:szCs w:val="22"/>
          <w:lang w:val="en-US"/>
        </w:rPr>
        <w:t xml:space="preserve">new </w:t>
      </w:r>
      <w:r w:rsidRPr="00241955">
        <w:rPr>
          <w:sz w:val="22"/>
          <w:szCs w:val="22"/>
          <w:lang w:val="en-US"/>
        </w:rPr>
        <w:t>application</w:t>
      </w:r>
      <w:r>
        <w:rPr>
          <w:sz w:val="22"/>
          <w:szCs w:val="22"/>
          <w:lang w:val="en-US"/>
        </w:rPr>
        <w:t xml:space="preserve"> fields</w:t>
      </w:r>
      <w:r w:rsidRPr="00241955">
        <w:rPr>
          <w:sz w:val="22"/>
          <w:szCs w:val="22"/>
          <w:lang w:val="en-US"/>
        </w:rPr>
        <w:t xml:space="preserve"> in which the specific adhesive effect of adhesive masses is practically negligible. Instead, </w:t>
      </w:r>
      <w:r>
        <w:rPr>
          <w:sz w:val="22"/>
          <w:szCs w:val="22"/>
          <w:lang w:val="en-US"/>
        </w:rPr>
        <w:t>the focus is on</w:t>
      </w:r>
      <w:r w:rsidRPr="00241955">
        <w:rPr>
          <w:sz w:val="22"/>
          <w:szCs w:val="22"/>
          <w:lang w:val="en-US"/>
        </w:rPr>
        <w:t xml:space="preserve"> lev</w:t>
      </w:r>
      <w:r w:rsidRPr="00241955">
        <w:rPr>
          <w:sz w:val="22"/>
          <w:szCs w:val="22"/>
          <w:lang w:val="en-US"/>
        </w:rPr>
        <w:t>e</w:t>
      </w:r>
      <w:r w:rsidRPr="00241955">
        <w:rPr>
          <w:sz w:val="22"/>
          <w:szCs w:val="22"/>
          <w:lang w:val="en-US"/>
        </w:rPr>
        <w:t>raging certain properties – properties that might not be immediately appa</w:t>
      </w:r>
      <w:r w:rsidRPr="00241955">
        <w:rPr>
          <w:sz w:val="22"/>
          <w:szCs w:val="22"/>
          <w:lang w:val="en-US"/>
        </w:rPr>
        <w:t>r</w:t>
      </w:r>
      <w:r w:rsidRPr="00241955">
        <w:rPr>
          <w:sz w:val="22"/>
          <w:szCs w:val="22"/>
          <w:lang w:val="en-US"/>
        </w:rPr>
        <w:t xml:space="preserve">ent to the eye, but certainly are to the ear. </w:t>
      </w:r>
      <w:r>
        <w:rPr>
          <w:sz w:val="22"/>
          <w:szCs w:val="22"/>
          <w:lang w:val="en-US"/>
        </w:rPr>
        <w:t>Specifically, t</w:t>
      </w:r>
      <w:r w:rsidRPr="00241955">
        <w:rPr>
          <w:sz w:val="22"/>
          <w:szCs w:val="22"/>
          <w:lang w:val="en-US"/>
        </w:rPr>
        <w:t>he complex branc</w:t>
      </w:r>
      <w:r w:rsidRPr="00241955">
        <w:rPr>
          <w:sz w:val="22"/>
          <w:szCs w:val="22"/>
          <w:lang w:val="en-US"/>
        </w:rPr>
        <w:t>h</w:t>
      </w:r>
      <w:r w:rsidRPr="00241955">
        <w:rPr>
          <w:sz w:val="22"/>
          <w:szCs w:val="22"/>
          <w:lang w:val="en-US"/>
        </w:rPr>
        <w:t xml:space="preserve">ing structure and interlinking chains of </w:t>
      </w:r>
      <w:proofErr w:type="spellStart"/>
      <w:r w:rsidRPr="00241955">
        <w:rPr>
          <w:sz w:val="22"/>
          <w:szCs w:val="22"/>
          <w:lang w:val="en-US"/>
        </w:rPr>
        <w:t>acrylate</w:t>
      </w:r>
      <w:proofErr w:type="spellEnd"/>
      <w:r w:rsidRPr="00241955">
        <w:rPr>
          <w:sz w:val="22"/>
          <w:szCs w:val="22"/>
          <w:lang w:val="en-US"/>
        </w:rPr>
        <w:t xml:space="preserve"> molecules give them ou</w:t>
      </w:r>
      <w:r w:rsidRPr="00241955">
        <w:rPr>
          <w:sz w:val="22"/>
          <w:szCs w:val="22"/>
          <w:lang w:val="en-US"/>
        </w:rPr>
        <w:t>t</w:t>
      </w:r>
      <w:r w:rsidRPr="00241955">
        <w:rPr>
          <w:sz w:val="22"/>
          <w:szCs w:val="22"/>
          <w:lang w:val="en-US"/>
        </w:rPr>
        <w:t>standing damping and insulation properties. And that means they are a perfect fit for the layered structure of tiny speaker cones</w:t>
      </w:r>
      <w:r>
        <w:rPr>
          <w:sz w:val="22"/>
          <w:szCs w:val="22"/>
          <w:lang w:val="en-US"/>
        </w:rPr>
        <w:t xml:space="preserve"> in mobile phones</w:t>
      </w:r>
      <w:r w:rsidRPr="00241955">
        <w:rPr>
          <w:sz w:val="22"/>
          <w:szCs w:val="22"/>
          <w:lang w:val="en-US"/>
        </w:rPr>
        <w:t>. Chemistry through music, you might say.</w:t>
      </w:r>
    </w:p>
    <w:p w:rsidR="002A1CC1" w:rsidRPr="00241955" w:rsidRDefault="002A1CC1" w:rsidP="002A1CC1">
      <w:pPr>
        <w:rPr>
          <w:sz w:val="22"/>
          <w:szCs w:val="22"/>
          <w:lang w:val="en-US"/>
        </w:rPr>
      </w:pPr>
    </w:p>
    <w:p w:rsidR="002A1CC1" w:rsidRPr="00241955" w:rsidRDefault="002A1CC1" w:rsidP="002A1CC1">
      <w:pPr>
        <w:rPr>
          <w:sz w:val="22"/>
          <w:szCs w:val="22"/>
          <w:lang w:val="en-US"/>
        </w:rPr>
      </w:pPr>
      <w:r w:rsidRPr="00241955">
        <w:rPr>
          <w:sz w:val="22"/>
          <w:szCs w:val="22"/>
          <w:lang w:val="en-US"/>
        </w:rPr>
        <w:t>Global players in the electronics industry are setting more and more stri</w:t>
      </w:r>
      <w:r w:rsidRPr="00241955">
        <w:rPr>
          <w:sz w:val="22"/>
          <w:szCs w:val="22"/>
          <w:lang w:val="en-US"/>
        </w:rPr>
        <w:t>n</w:t>
      </w:r>
      <w:r w:rsidRPr="00241955">
        <w:rPr>
          <w:sz w:val="22"/>
          <w:szCs w:val="22"/>
          <w:lang w:val="en-US"/>
        </w:rPr>
        <w:t>gent requirements for the acoustic performance spectrum of their multifun</w:t>
      </w:r>
      <w:r w:rsidRPr="00241955">
        <w:rPr>
          <w:sz w:val="22"/>
          <w:szCs w:val="22"/>
          <w:lang w:val="en-US"/>
        </w:rPr>
        <w:t>c</w:t>
      </w:r>
      <w:r w:rsidRPr="00241955">
        <w:rPr>
          <w:sz w:val="22"/>
          <w:szCs w:val="22"/>
          <w:lang w:val="en-US"/>
        </w:rPr>
        <w:t>tional devices. Mobile phones, for example, have to be able to not only transmit voice communications flawlessly, but also emit sound sequences that are appealing from a melodic standpoint. Cell phones typically use two different types of speakers. The high-end speakers encompass a frequency range of between 500 and 5000 hertz and are necessary for complex sound compositions such as ringtones, audio in apps, music, and games. Receivers (approximately 300–3000 hertz) are sufficient for transmitting phone conversations.</w:t>
      </w:r>
    </w:p>
    <w:p w:rsidR="002A1CC1" w:rsidRPr="00241955" w:rsidRDefault="002A1CC1" w:rsidP="002A1CC1">
      <w:pPr>
        <w:rPr>
          <w:sz w:val="22"/>
          <w:szCs w:val="22"/>
          <w:lang w:val="en-US"/>
        </w:rPr>
      </w:pPr>
    </w:p>
    <w:p w:rsidR="002A1CC1" w:rsidRDefault="002A1CC1" w:rsidP="002A1CC1">
      <w:pPr>
        <w:rPr>
          <w:b/>
          <w:bCs/>
          <w:sz w:val="22"/>
          <w:szCs w:val="22"/>
          <w:lang w:val="en-US"/>
        </w:rPr>
      </w:pPr>
    </w:p>
    <w:p w:rsidR="002A1CC1" w:rsidRPr="00241955" w:rsidRDefault="002A1CC1" w:rsidP="002A1CC1">
      <w:pPr>
        <w:rPr>
          <w:b/>
          <w:sz w:val="22"/>
          <w:szCs w:val="22"/>
          <w:lang w:val="en-US"/>
        </w:rPr>
      </w:pPr>
      <w:r w:rsidRPr="00241955">
        <w:rPr>
          <w:b/>
          <w:bCs/>
          <w:sz w:val="22"/>
          <w:szCs w:val="22"/>
          <w:lang w:val="en-US"/>
        </w:rPr>
        <w:lastRenderedPageBreak/>
        <w:t>Asia sets the tone</w:t>
      </w:r>
    </w:p>
    <w:p w:rsidR="002A1CC1" w:rsidRPr="00241955" w:rsidRDefault="002A1CC1" w:rsidP="002A1CC1">
      <w:pPr>
        <w:rPr>
          <w:sz w:val="22"/>
          <w:szCs w:val="22"/>
          <w:lang w:val="en-US"/>
        </w:rPr>
      </w:pPr>
      <w:r w:rsidRPr="00241955">
        <w:rPr>
          <w:sz w:val="22"/>
          <w:szCs w:val="22"/>
          <w:lang w:val="en-US"/>
        </w:rPr>
        <w:t>Since mid-2012, tesa has offered various three-layered products to the a</w:t>
      </w:r>
      <w:r w:rsidRPr="00241955">
        <w:rPr>
          <w:sz w:val="22"/>
          <w:szCs w:val="22"/>
          <w:lang w:val="en-US"/>
        </w:rPr>
        <w:t>p</w:t>
      </w:r>
      <w:r w:rsidRPr="00241955">
        <w:rPr>
          <w:sz w:val="22"/>
          <w:szCs w:val="22"/>
          <w:lang w:val="en-US"/>
        </w:rPr>
        <w:t>proximately 15 companies, mostly</w:t>
      </w:r>
      <w:r>
        <w:rPr>
          <w:sz w:val="22"/>
          <w:szCs w:val="22"/>
          <w:lang w:val="en-US"/>
        </w:rPr>
        <w:t xml:space="preserve"> based in China, </w:t>
      </w:r>
      <w:r w:rsidRPr="00241955">
        <w:rPr>
          <w:sz w:val="22"/>
          <w:szCs w:val="22"/>
          <w:lang w:val="en-US"/>
        </w:rPr>
        <w:t>South Korea</w:t>
      </w:r>
      <w:r>
        <w:rPr>
          <w:sz w:val="22"/>
          <w:szCs w:val="22"/>
          <w:lang w:val="en-US"/>
        </w:rPr>
        <w:t xml:space="preserve"> and </w:t>
      </w:r>
      <w:proofErr w:type="gramStart"/>
      <w:r>
        <w:rPr>
          <w:sz w:val="22"/>
          <w:szCs w:val="22"/>
          <w:lang w:val="en-US"/>
        </w:rPr>
        <w:t xml:space="preserve">Japan, </w:t>
      </w:r>
      <w:r w:rsidRPr="00241955">
        <w:rPr>
          <w:sz w:val="22"/>
          <w:szCs w:val="22"/>
          <w:lang w:val="en-US"/>
        </w:rPr>
        <w:t>that</w:t>
      </w:r>
      <w:proofErr w:type="gramEnd"/>
      <w:r w:rsidRPr="00241955">
        <w:rPr>
          <w:sz w:val="22"/>
          <w:szCs w:val="22"/>
          <w:lang w:val="en-US"/>
        </w:rPr>
        <w:t xml:space="preserve"> drive the growing business in these tiny speakers. Each product co</w:t>
      </w:r>
      <w:r w:rsidRPr="00241955">
        <w:rPr>
          <w:sz w:val="22"/>
          <w:szCs w:val="22"/>
          <w:lang w:val="en-US"/>
        </w:rPr>
        <w:t>n</w:t>
      </w:r>
      <w:r w:rsidRPr="00241955">
        <w:rPr>
          <w:sz w:val="22"/>
          <w:szCs w:val="22"/>
          <w:lang w:val="en-US"/>
        </w:rPr>
        <w:t xml:space="preserve">sists of a top and bottom layer of high-performance film. In between is one of several buffering </w:t>
      </w:r>
      <w:proofErr w:type="spellStart"/>
      <w:r w:rsidRPr="00241955">
        <w:rPr>
          <w:sz w:val="22"/>
          <w:szCs w:val="22"/>
          <w:lang w:val="en-US"/>
        </w:rPr>
        <w:t>acrylate</w:t>
      </w:r>
      <w:proofErr w:type="spellEnd"/>
      <w:r w:rsidRPr="00241955">
        <w:rPr>
          <w:sz w:val="22"/>
          <w:szCs w:val="22"/>
          <w:lang w:val="en-US"/>
        </w:rPr>
        <w:t xml:space="preserve"> adhesive masses produced in-house. The real challenge is that the products have to combine two properties that actually conflict with each other – thin high-performance films deliver superior stif</w:t>
      </w:r>
      <w:r w:rsidRPr="00241955">
        <w:rPr>
          <w:sz w:val="22"/>
          <w:szCs w:val="22"/>
          <w:lang w:val="en-US"/>
        </w:rPr>
        <w:t>f</w:t>
      </w:r>
      <w:r w:rsidRPr="00241955">
        <w:rPr>
          <w:sz w:val="22"/>
          <w:szCs w:val="22"/>
          <w:lang w:val="en-US"/>
        </w:rPr>
        <w:t>ness, while the adhesive mass on the inside provides flexibility.</w:t>
      </w:r>
    </w:p>
    <w:p w:rsidR="002A1CC1" w:rsidRPr="00241955" w:rsidRDefault="002A1CC1" w:rsidP="002A1CC1">
      <w:pPr>
        <w:rPr>
          <w:sz w:val="22"/>
          <w:szCs w:val="22"/>
          <w:lang w:val="en-US"/>
        </w:rPr>
      </w:pPr>
    </w:p>
    <w:p w:rsidR="002A1CC1" w:rsidRPr="00241955" w:rsidRDefault="002A1CC1" w:rsidP="002A1CC1">
      <w:pPr>
        <w:rPr>
          <w:sz w:val="22"/>
          <w:szCs w:val="22"/>
          <w:lang w:val="en-US"/>
        </w:rPr>
      </w:pPr>
      <w:r w:rsidRPr="00241955">
        <w:rPr>
          <w:sz w:val="22"/>
          <w:szCs w:val="22"/>
          <w:lang w:val="en-US"/>
        </w:rPr>
        <w:t xml:space="preserve">All customers receive the non-adhesive “sound films” on reels, at stock thicknesses of between 22 and 60 micrometers. The individual speaker cone tailored to the specific phone is then created through an additional step, such as stamping or thermoforming. “Our </w:t>
      </w:r>
      <w:proofErr w:type="spellStart"/>
      <w:r w:rsidRPr="00241955">
        <w:rPr>
          <w:sz w:val="22"/>
          <w:szCs w:val="22"/>
          <w:lang w:val="en-US"/>
        </w:rPr>
        <w:t>cleanroom</w:t>
      </w:r>
      <w:proofErr w:type="spellEnd"/>
      <w:r w:rsidRPr="00241955">
        <w:rPr>
          <w:sz w:val="22"/>
          <w:szCs w:val="22"/>
          <w:lang w:val="en-US"/>
        </w:rPr>
        <w:t xml:space="preserve"> unit lets us coat films with very little deviation with regard to thickness tolerance,” explains Dr. Robert Gereke, the member of the tesa Executive Board responsible for the industrial business. “Th</w:t>
      </w:r>
      <w:r>
        <w:rPr>
          <w:sz w:val="22"/>
          <w:szCs w:val="22"/>
          <w:lang w:val="en-US"/>
        </w:rPr>
        <w:t>at</w:t>
      </w:r>
      <w:r w:rsidRPr="00241955">
        <w:rPr>
          <w:sz w:val="22"/>
          <w:szCs w:val="22"/>
          <w:lang w:val="en-US"/>
        </w:rPr>
        <w:t xml:space="preserve"> has turned out to be a big competitive adva</w:t>
      </w:r>
      <w:r w:rsidRPr="00241955">
        <w:rPr>
          <w:sz w:val="22"/>
          <w:szCs w:val="22"/>
          <w:lang w:val="en-US"/>
        </w:rPr>
        <w:t>n</w:t>
      </w:r>
      <w:r w:rsidRPr="00241955">
        <w:rPr>
          <w:sz w:val="22"/>
          <w:szCs w:val="22"/>
          <w:lang w:val="en-US"/>
        </w:rPr>
        <w:t>tage.”</w:t>
      </w:r>
    </w:p>
    <w:p w:rsidR="002A1CC1" w:rsidRPr="00241955" w:rsidRDefault="002A1CC1" w:rsidP="002A1CC1">
      <w:pPr>
        <w:rPr>
          <w:sz w:val="22"/>
          <w:szCs w:val="22"/>
          <w:lang w:val="en-US"/>
        </w:rPr>
      </w:pPr>
    </w:p>
    <w:p w:rsidR="002A1CC1" w:rsidRDefault="002A1CC1" w:rsidP="002A1CC1">
      <w:pPr>
        <w:rPr>
          <w:b/>
          <w:sz w:val="22"/>
          <w:szCs w:val="22"/>
          <w:lang w:val="en-US"/>
        </w:rPr>
      </w:pPr>
      <w:r>
        <w:rPr>
          <w:b/>
          <w:sz w:val="22"/>
          <w:szCs w:val="22"/>
          <w:lang w:val="en-US"/>
        </w:rPr>
        <w:t>Markets of millions, making music</w:t>
      </w:r>
    </w:p>
    <w:p w:rsidR="002A1CC1" w:rsidRPr="00241955" w:rsidRDefault="002A1CC1" w:rsidP="002A1CC1">
      <w:pPr>
        <w:rPr>
          <w:sz w:val="22"/>
          <w:szCs w:val="22"/>
          <w:lang w:val="en-US"/>
        </w:rPr>
      </w:pPr>
      <w:r w:rsidRPr="00241955">
        <w:rPr>
          <w:sz w:val="22"/>
          <w:szCs w:val="22"/>
          <w:lang w:val="en-US"/>
        </w:rPr>
        <w:t xml:space="preserve">The </w:t>
      </w:r>
      <w:r>
        <w:rPr>
          <w:sz w:val="22"/>
          <w:szCs w:val="22"/>
          <w:lang w:val="en-US"/>
        </w:rPr>
        <w:t>consumer electronics</w:t>
      </w:r>
      <w:r w:rsidRPr="00241955">
        <w:rPr>
          <w:sz w:val="22"/>
          <w:szCs w:val="22"/>
          <w:lang w:val="en-US"/>
        </w:rPr>
        <w:t xml:space="preserve"> market, especially the </w:t>
      </w:r>
      <w:proofErr w:type="spellStart"/>
      <w:r w:rsidRPr="00241955">
        <w:rPr>
          <w:sz w:val="22"/>
          <w:szCs w:val="22"/>
          <w:lang w:val="en-US"/>
        </w:rPr>
        <w:t>smartphone</w:t>
      </w:r>
      <w:proofErr w:type="spellEnd"/>
      <w:r w:rsidRPr="00241955">
        <w:rPr>
          <w:sz w:val="22"/>
          <w:szCs w:val="22"/>
          <w:lang w:val="en-US"/>
        </w:rPr>
        <w:t xml:space="preserve"> </w:t>
      </w:r>
      <w:r>
        <w:rPr>
          <w:sz w:val="22"/>
          <w:szCs w:val="22"/>
          <w:lang w:val="en-US"/>
        </w:rPr>
        <w:t xml:space="preserve">and tablet </w:t>
      </w:r>
      <w:r w:rsidRPr="00241955">
        <w:rPr>
          <w:sz w:val="22"/>
          <w:szCs w:val="22"/>
          <w:lang w:val="en-US"/>
        </w:rPr>
        <w:t>segment, is a business that still has quite a lot of “music” to make –</w:t>
      </w:r>
      <w:r>
        <w:rPr>
          <w:sz w:val="22"/>
          <w:szCs w:val="22"/>
          <w:lang w:val="en-US"/>
        </w:rPr>
        <w:t xml:space="preserve"> inclu</w:t>
      </w:r>
      <w:r>
        <w:rPr>
          <w:sz w:val="22"/>
          <w:szCs w:val="22"/>
          <w:lang w:val="en-US"/>
        </w:rPr>
        <w:t>d</w:t>
      </w:r>
      <w:r>
        <w:rPr>
          <w:sz w:val="22"/>
          <w:szCs w:val="22"/>
          <w:lang w:val="en-US"/>
        </w:rPr>
        <w:t xml:space="preserve">ing </w:t>
      </w:r>
      <w:r w:rsidRPr="00241955">
        <w:rPr>
          <w:sz w:val="22"/>
          <w:szCs w:val="22"/>
          <w:lang w:val="en-US"/>
        </w:rPr>
        <w:t xml:space="preserve">for tesa. According to the most recent analyses </w:t>
      </w:r>
      <w:r>
        <w:rPr>
          <w:sz w:val="22"/>
          <w:szCs w:val="22"/>
          <w:lang w:val="en-US"/>
        </w:rPr>
        <w:t>conducted</w:t>
      </w:r>
      <w:r w:rsidRPr="00241955">
        <w:rPr>
          <w:sz w:val="22"/>
          <w:szCs w:val="22"/>
          <w:lang w:val="en-US"/>
        </w:rPr>
        <w:t xml:space="preserve"> by intern</w:t>
      </w:r>
      <w:r w:rsidRPr="00241955">
        <w:rPr>
          <w:sz w:val="22"/>
          <w:szCs w:val="22"/>
          <w:lang w:val="en-US"/>
        </w:rPr>
        <w:t>a</w:t>
      </w:r>
      <w:r w:rsidRPr="00241955">
        <w:rPr>
          <w:sz w:val="22"/>
          <w:szCs w:val="22"/>
          <w:lang w:val="en-US"/>
        </w:rPr>
        <w:t xml:space="preserve">tional market research firm IDC, state-of-the-art </w:t>
      </w:r>
      <w:proofErr w:type="spellStart"/>
      <w:r w:rsidRPr="00241955">
        <w:rPr>
          <w:sz w:val="22"/>
          <w:szCs w:val="22"/>
          <w:lang w:val="en-US"/>
        </w:rPr>
        <w:t>smartphones</w:t>
      </w:r>
      <w:proofErr w:type="spellEnd"/>
      <w:r w:rsidRPr="00241955">
        <w:rPr>
          <w:sz w:val="22"/>
          <w:szCs w:val="22"/>
          <w:lang w:val="en-US"/>
        </w:rPr>
        <w:t xml:space="preserve"> already a</w:t>
      </w:r>
      <w:r w:rsidRPr="00241955">
        <w:rPr>
          <w:sz w:val="22"/>
          <w:szCs w:val="22"/>
          <w:lang w:val="en-US"/>
        </w:rPr>
        <w:t>c</w:t>
      </w:r>
      <w:r w:rsidRPr="00241955">
        <w:rPr>
          <w:sz w:val="22"/>
          <w:szCs w:val="22"/>
          <w:lang w:val="en-US"/>
        </w:rPr>
        <w:t>counted for 45.5 percent of global mobile phone sales in the last quarter of 2012, up from only about 20 percent in 2010. In all, about 1.7 billion devi</w:t>
      </w:r>
      <w:r w:rsidRPr="00241955">
        <w:rPr>
          <w:sz w:val="22"/>
          <w:szCs w:val="22"/>
          <w:lang w:val="en-US"/>
        </w:rPr>
        <w:t>c</w:t>
      </w:r>
      <w:r w:rsidRPr="00241955">
        <w:rPr>
          <w:sz w:val="22"/>
          <w:szCs w:val="22"/>
          <w:lang w:val="en-US"/>
        </w:rPr>
        <w:t xml:space="preserve">es were sold last year, 712.6 million of them </w:t>
      </w:r>
      <w:proofErr w:type="spellStart"/>
      <w:r w:rsidRPr="00241955">
        <w:rPr>
          <w:sz w:val="22"/>
          <w:szCs w:val="22"/>
          <w:lang w:val="en-US"/>
        </w:rPr>
        <w:t>smartphones</w:t>
      </w:r>
      <w:proofErr w:type="spellEnd"/>
      <w:r w:rsidRPr="00241955">
        <w:rPr>
          <w:sz w:val="22"/>
          <w:szCs w:val="22"/>
          <w:lang w:val="en-US"/>
        </w:rPr>
        <w:t>. And IDC e</w:t>
      </w:r>
      <w:r w:rsidRPr="00241955">
        <w:rPr>
          <w:sz w:val="22"/>
          <w:szCs w:val="22"/>
          <w:lang w:val="en-US"/>
        </w:rPr>
        <w:t>x</w:t>
      </w:r>
      <w:r w:rsidRPr="00241955">
        <w:rPr>
          <w:sz w:val="22"/>
          <w:szCs w:val="22"/>
          <w:lang w:val="en-US"/>
        </w:rPr>
        <w:t xml:space="preserve">pects growth to continue at a rapid pace: </w:t>
      </w:r>
      <w:r>
        <w:rPr>
          <w:sz w:val="22"/>
          <w:szCs w:val="22"/>
          <w:lang w:val="en-US"/>
        </w:rPr>
        <w:t xml:space="preserve">More than a </w:t>
      </w:r>
      <w:r w:rsidRPr="00241955">
        <w:rPr>
          <w:sz w:val="22"/>
          <w:szCs w:val="22"/>
          <w:lang w:val="en-US"/>
        </w:rPr>
        <w:t xml:space="preserve">billion </w:t>
      </w:r>
      <w:proofErr w:type="spellStart"/>
      <w:r w:rsidRPr="00241955">
        <w:rPr>
          <w:sz w:val="22"/>
          <w:szCs w:val="22"/>
          <w:lang w:val="en-US"/>
        </w:rPr>
        <w:t>smartphones</w:t>
      </w:r>
      <w:proofErr w:type="spellEnd"/>
      <w:r w:rsidRPr="00241955">
        <w:rPr>
          <w:sz w:val="22"/>
          <w:szCs w:val="22"/>
          <w:lang w:val="en-US"/>
        </w:rPr>
        <w:t xml:space="preserve"> will be sold</w:t>
      </w:r>
      <w:r w:rsidRPr="002D065F">
        <w:rPr>
          <w:sz w:val="22"/>
          <w:szCs w:val="22"/>
          <w:lang w:val="en-US"/>
        </w:rPr>
        <w:t xml:space="preserve"> </w:t>
      </w:r>
      <w:r>
        <w:rPr>
          <w:sz w:val="22"/>
          <w:szCs w:val="22"/>
          <w:lang w:val="en-US"/>
        </w:rPr>
        <w:t>in 2014</w:t>
      </w:r>
      <w:r w:rsidRPr="00241955">
        <w:rPr>
          <w:sz w:val="22"/>
          <w:szCs w:val="22"/>
          <w:lang w:val="en-US"/>
        </w:rPr>
        <w:t>, and the f</w:t>
      </w:r>
      <w:r>
        <w:rPr>
          <w:sz w:val="22"/>
          <w:szCs w:val="22"/>
          <w:lang w:val="en-US"/>
        </w:rPr>
        <w:t xml:space="preserve">igure </w:t>
      </w:r>
      <w:r w:rsidRPr="00241955">
        <w:rPr>
          <w:sz w:val="22"/>
          <w:szCs w:val="22"/>
          <w:lang w:val="en-US"/>
        </w:rPr>
        <w:t xml:space="preserve">for 2016 </w:t>
      </w:r>
      <w:r>
        <w:rPr>
          <w:sz w:val="22"/>
          <w:szCs w:val="22"/>
          <w:lang w:val="en-US"/>
        </w:rPr>
        <w:t>is forecast to be</w:t>
      </w:r>
      <w:r w:rsidRPr="00241955">
        <w:rPr>
          <w:sz w:val="22"/>
          <w:szCs w:val="22"/>
          <w:lang w:val="en-US"/>
        </w:rPr>
        <w:t xml:space="preserve"> 1.4 billion. </w:t>
      </w:r>
      <w:r>
        <w:rPr>
          <w:sz w:val="22"/>
          <w:szCs w:val="22"/>
          <w:lang w:val="en-US"/>
        </w:rPr>
        <w:t xml:space="preserve">Market researchers also predict highly positive development for tablets, which have only been commercially available since 2010. According to IDC, 122.3 million </w:t>
      </w:r>
      <w:proofErr w:type="gramStart"/>
      <w:r>
        <w:rPr>
          <w:sz w:val="22"/>
          <w:szCs w:val="22"/>
          <w:lang w:val="en-US"/>
        </w:rPr>
        <w:t>of</w:t>
      </w:r>
      <w:proofErr w:type="gramEnd"/>
      <w:r>
        <w:rPr>
          <w:sz w:val="22"/>
          <w:szCs w:val="22"/>
          <w:lang w:val="en-US"/>
        </w:rPr>
        <w:t xml:space="preserve"> these devices were sold worldwide in 2012. By 2016, the market analysts believe the volume of tablets could reach 282.7 million, an increase from the 261.4 million </w:t>
      </w:r>
      <w:proofErr w:type="gramStart"/>
      <w:r>
        <w:rPr>
          <w:sz w:val="22"/>
          <w:szCs w:val="22"/>
          <w:lang w:val="en-US"/>
        </w:rPr>
        <w:t>forecast</w:t>
      </w:r>
      <w:proofErr w:type="gramEnd"/>
      <w:r>
        <w:rPr>
          <w:sz w:val="22"/>
          <w:szCs w:val="22"/>
          <w:lang w:val="en-US"/>
        </w:rPr>
        <w:t xml:space="preserve"> not too long ago.</w:t>
      </w:r>
      <w:r w:rsidRPr="00241955">
        <w:rPr>
          <w:sz w:val="22"/>
          <w:szCs w:val="22"/>
          <w:lang w:val="en-US"/>
        </w:rPr>
        <w:t xml:space="preserve"> The tesa product range for the electronics industry currently includes more than 150 pro</w:t>
      </w:r>
      <w:r w:rsidRPr="00241955">
        <w:rPr>
          <w:sz w:val="22"/>
          <w:szCs w:val="22"/>
          <w:lang w:val="en-US"/>
        </w:rPr>
        <w:t>d</w:t>
      </w:r>
      <w:r w:rsidRPr="00241955">
        <w:rPr>
          <w:sz w:val="22"/>
          <w:szCs w:val="22"/>
          <w:lang w:val="en-US"/>
        </w:rPr>
        <w:t>ucts.</w:t>
      </w:r>
    </w:p>
    <w:p w:rsidR="002A1CC1" w:rsidRPr="00241955" w:rsidRDefault="002A1CC1" w:rsidP="002A1CC1">
      <w:pPr>
        <w:rPr>
          <w:sz w:val="22"/>
          <w:szCs w:val="22"/>
          <w:lang w:val="en-US"/>
        </w:rPr>
      </w:pPr>
    </w:p>
    <w:p w:rsidR="002A1CC1" w:rsidRPr="00241955" w:rsidRDefault="002A1CC1" w:rsidP="002A1CC1">
      <w:pPr>
        <w:rPr>
          <w:b/>
          <w:sz w:val="22"/>
          <w:szCs w:val="22"/>
          <w:lang w:val="en-US"/>
        </w:rPr>
      </w:pPr>
      <w:r w:rsidRPr="00241955">
        <w:rPr>
          <w:sz w:val="22"/>
          <w:szCs w:val="22"/>
          <w:lang w:val="en-US"/>
        </w:rPr>
        <w:t>This press releas</w:t>
      </w:r>
      <w:r>
        <w:rPr>
          <w:sz w:val="22"/>
          <w:szCs w:val="22"/>
          <w:lang w:val="en-US"/>
        </w:rPr>
        <w:t>e</w:t>
      </w:r>
      <w:r w:rsidRPr="00241955">
        <w:rPr>
          <w:sz w:val="22"/>
          <w:szCs w:val="22"/>
          <w:lang w:val="en-US"/>
        </w:rPr>
        <w:t>, along with image and photo materials, is available o</w:t>
      </w:r>
      <w:r w:rsidRPr="00241955">
        <w:rPr>
          <w:sz w:val="22"/>
          <w:szCs w:val="22"/>
          <w:lang w:val="en-US"/>
        </w:rPr>
        <w:t>n</w:t>
      </w:r>
      <w:r w:rsidRPr="00241955">
        <w:rPr>
          <w:sz w:val="22"/>
          <w:szCs w:val="22"/>
          <w:lang w:val="en-US"/>
        </w:rPr>
        <w:t xml:space="preserve">line at </w:t>
      </w:r>
      <w:hyperlink r:id="rId7" w:history="1">
        <w:r w:rsidRPr="002A1CC1">
          <w:rPr>
            <w:rStyle w:val="Hyperlink"/>
            <w:rFonts w:cs="Arial"/>
            <w:sz w:val="22"/>
            <w:szCs w:val="22"/>
            <w:lang w:val="en-US"/>
          </w:rPr>
          <w:t>www.tesa.com/press</w:t>
        </w:r>
      </w:hyperlink>
      <w:r w:rsidRPr="00241955">
        <w:rPr>
          <w:sz w:val="22"/>
          <w:szCs w:val="22"/>
          <w:lang w:val="en-US"/>
        </w:rPr>
        <w:t>.</w:t>
      </w:r>
    </w:p>
    <w:p w:rsidR="002A1CC1" w:rsidRPr="00241955" w:rsidRDefault="002A1CC1" w:rsidP="002A1CC1">
      <w:pPr>
        <w:tabs>
          <w:tab w:val="left" w:pos="8080"/>
        </w:tabs>
        <w:rPr>
          <w:sz w:val="22"/>
          <w:szCs w:val="22"/>
          <w:lang w:val="en-US"/>
        </w:rPr>
      </w:pPr>
    </w:p>
    <w:p w:rsidR="002A1CC1" w:rsidRPr="00241955" w:rsidRDefault="002A1CC1" w:rsidP="002A1CC1">
      <w:pPr>
        <w:tabs>
          <w:tab w:val="left" w:pos="8080"/>
        </w:tabs>
        <w:rPr>
          <w:sz w:val="22"/>
          <w:szCs w:val="22"/>
          <w:lang w:val="en-US"/>
        </w:rPr>
      </w:pPr>
      <w:r w:rsidRPr="00241955">
        <w:rPr>
          <w:b/>
          <w:bCs/>
          <w:sz w:val="22"/>
          <w:szCs w:val="22"/>
          <w:lang w:val="en-US"/>
        </w:rPr>
        <w:t>Press contact:</w:t>
      </w:r>
    </w:p>
    <w:p w:rsidR="002A1CC1" w:rsidRPr="00241955" w:rsidRDefault="002A1CC1" w:rsidP="002A1CC1">
      <w:pPr>
        <w:tabs>
          <w:tab w:val="left" w:pos="8080"/>
        </w:tabs>
        <w:rPr>
          <w:sz w:val="22"/>
          <w:szCs w:val="22"/>
          <w:lang w:val="en-US"/>
        </w:rPr>
      </w:pPr>
      <w:proofErr w:type="gramStart"/>
      <w:r w:rsidRPr="00241955">
        <w:rPr>
          <w:sz w:val="22"/>
          <w:szCs w:val="22"/>
          <w:lang w:val="en-US"/>
        </w:rPr>
        <w:t>tesa</w:t>
      </w:r>
      <w:proofErr w:type="gramEnd"/>
      <w:r w:rsidRPr="00241955">
        <w:rPr>
          <w:sz w:val="22"/>
          <w:szCs w:val="22"/>
          <w:lang w:val="en-US"/>
        </w:rPr>
        <w:t xml:space="preserve"> SE </w:t>
      </w:r>
    </w:p>
    <w:p w:rsidR="002A1CC1" w:rsidRPr="00241955" w:rsidRDefault="002A1CC1" w:rsidP="002A1CC1">
      <w:pPr>
        <w:tabs>
          <w:tab w:val="left" w:pos="8080"/>
        </w:tabs>
        <w:rPr>
          <w:sz w:val="22"/>
          <w:szCs w:val="22"/>
          <w:lang w:val="en-US"/>
        </w:rPr>
      </w:pPr>
      <w:r w:rsidRPr="00241955">
        <w:rPr>
          <w:sz w:val="22"/>
          <w:szCs w:val="22"/>
          <w:lang w:val="en-US"/>
        </w:rPr>
        <w:t>Reinhart Martin – Director of Corporate Communications</w:t>
      </w:r>
    </w:p>
    <w:p w:rsidR="002A1CC1" w:rsidRPr="007F3318" w:rsidRDefault="002A1CC1" w:rsidP="002A1CC1">
      <w:pPr>
        <w:tabs>
          <w:tab w:val="left" w:pos="8080"/>
        </w:tabs>
        <w:rPr>
          <w:sz w:val="22"/>
          <w:szCs w:val="22"/>
        </w:rPr>
      </w:pPr>
      <w:r w:rsidRPr="007F3318">
        <w:rPr>
          <w:sz w:val="22"/>
          <w:szCs w:val="22"/>
        </w:rPr>
        <w:t>Tel.: +49(0)40 - 4909-4448</w:t>
      </w:r>
    </w:p>
    <w:p w:rsidR="002A1CC1" w:rsidRDefault="002A1CC1" w:rsidP="002A1CC1">
      <w:pPr>
        <w:widowControl w:val="0"/>
        <w:autoSpaceDE w:val="0"/>
        <w:autoSpaceDN w:val="0"/>
        <w:adjustRightInd w:val="0"/>
        <w:ind w:right="-1"/>
        <w:rPr>
          <w:sz w:val="22"/>
          <w:szCs w:val="22"/>
        </w:rPr>
      </w:pPr>
      <w:bookmarkStart w:id="0" w:name="_GoBack"/>
      <w:bookmarkEnd w:id="0"/>
      <w:r>
        <w:rPr>
          <w:sz w:val="22"/>
          <w:szCs w:val="22"/>
        </w:rPr>
        <w:t>e-</w:t>
      </w:r>
      <w:proofErr w:type="spellStart"/>
      <w:r>
        <w:rPr>
          <w:sz w:val="22"/>
          <w:szCs w:val="22"/>
        </w:rPr>
        <w:t>mail</w:t>
      </w:r>
      <w:proofErr w:type="spellEnd"/>
      <w:r>
        <w:rPr>
          <w:sz w:val="22"/>
          <w:szCs w:val="22"/>
        </w:rPr>
        <w:t xml:space="preserve">: </w:t>
      </w:r>
      <w:hyperlink r:id="rId8" w:history="1">
        <w:r>
          <w:rPr>
            <w:rStyle w:val="Hyperlink"/>
            <w:sz w:val="22"/>
            <w:szCs w:val="22"/>
          </w:rPr>
          <w:t>reinhart.martin@tesa.com</w:t>
        </w:r>
      </w:hyperlink>
    </w:p>
    <w:p w:rsidR="002A1CC1" w:rsidRPr="00231F33" w:rsidRDefault="002A1CC1" w:rsidP="002A1CC1">
      <w:pPr>
        <w:tabs>
          <w:tab w:val="left" w:pos="7938"/>
        </w:tabs>
        <w:rPr>
          <w:sz w:val="22"/>
          <w:szCs w:val="22"/>
        </w:rPr>
      </w:pPr>
    </w:p>
    <w:p w:rsidR="00A01963" w:rsidRPr="00D668E8" w:rsidRDefault="00A01963" w:rsidP="002A1CC1">
      <w:pPr>
        <w:ind w:left="4560"/>
        <w:jc w:val="right"/>
        <w:rPr>
          <w:sz w:val="22"/>
        </w:rPr>
      </w:pPr>
    </w:p>
    <w:sectPr w:rsidR="00A01963" w:rsidRPr="00D668E8" w:rsidSect="00A01963">
      <w:headerReference w:type="even" r:id="rId9"/>
      <w:headerReference w:type="default" r:id="rId10"/>
      <w:headerReference w:type="first" r:id="rId11"/>
      <w:pgSz w:w="11906" w:h="16838"/>
      <w:pgMar w:top="3402" w:right="1985" w:bottom="1134" w:left="2552"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5A" w:rsidRDefault="0011215A">
      <w:r>
        <w:separator/>
      </w:r>
    </w:p>
  </w:endnote>
  <w:endnote w:type="continuationSeparator" w:id="0">
    <w:p w:rsidR="0011215A" w:rsidRDefault="00112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5A" w:rsidRDefault="0011215A">
      <w:r>
        <w:separator/>
      </w:r>
    </w:p>
  </w:footnote>
  <w:footnote w:type="continuationSeparator" w:id="0">
    <w:p w:rsidR="0011215A" w:rsidRDefault="00112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1B3350"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end"/>
    </w:r>
  </w:p>
  <w:p w:rsidR="00A01963" w:rsidRDefault="00A0196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1B3350" w:rsidP="00A01963">
    <w:pPr>
      <w:pStyle w:val="Kopfzeile"/>
      <w:framePr w:wrap="around" w:vAnchor="text" w:hAnchor="margin" w:xAlign="center" w:y="1"/>
      <w:rPr>
        <w:rStyle w:val="Seitenzahl"/>
      </w:rPr>
    </w:pPr>
    <w:r>
      <w:rPr>
        <w:rStyle w:val="Seitenzahl"/>
        <w:rFonts w:cs="Arial"/>
      </w:rPr>
      <w:fldChar w:fldCharType="begin"/>
    </w:r>
    <w:r w:rsidR="00A01963">
      <w:rPr>
        <w:rStyle w:val="Seitenzahl"/>
        <w:rFonts w:cs="Arial"/>
      </w:rPr>
      <w:instrText xml:space="preserve">PAGE  </w:instrText>
    </w:r>
    <w:r>
      <w:rPr>
        <w:rStyle w:val="Seitenzahl"/>
        <w:rFonts w:cs="Arial"/>
      </w:rPr>
      <w:fldChar w:fldCharType="separate"/>
    </w:r>
    <w:r w:rsidR="00633536">
      <w:rPr>
        <w:rStyle w:val="Seitenzahl"/>
        <w:rFonts w:cs="Arial"/>
        <w:noProof/>
      </w:rPr>
      <w:t>2</w:t>
    </w:r>
    <w:r>
      <w:rPr>
        <w:rStyle w:val="Seitenzahl"/>
        <w:rFonts w:cs="Arial"/>
      </w:rPr>
      <w:fldChar w:fldCharType="end"/>
    </w:r>
  </w:p>
  <w:p w:rsidR="00A01963" w:rsidRDefault="00A01963" w:rsidP="00A0196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63" w:rsidRDefault="002A1CC1" w:rsidP="00A01963">
    <w:pPr>
      <w:pStyle w:val="Kopfzeile"/>
    </w:pPr>
    <w:r>
      <w:rPr>
        <w:noProof/>
        <w:szCs w:val="20"/>
        <w:lang w:bidi="ar-SA"/>
      </w:rPr>
      <w:drawing>
        <wp:anchor distT="0" distB="0" distL="114300" distR="114300" simplePos="0" relativeHeight="251657216" behindDoc="0" locked="0" layoutInCell="1" allowOverlap="1">
          <wp:simplePos x="0" y="0"/>
          <wp:positionH relativeFrom="column">
            <wp:posOffset>-534670</wp:posOffset>
          </wp:positionH>
          <wp:positionV relativeFrom="paragraph">
            <wp:posOffset>-86360</wp:posOffset>
          </wp:positionV>
          <wp:extent cx="5781675" cy="447675"/>
          <wp:effectExtent l="19050" t="0" r="9525"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81675" cy="447675"/>
                  </a:xfrm>
                  <a:prstGeom prst="rect">
                    <a:avLst/>
                  </a:prstGeom>
                  <a:noFill/>
                  <a:ln w="9525">
                    <a:noFill/>
                    <a:miter lim="800000"/>
                    <a:headEnd/>
                    <a:tailEnd/>
                  </a:ln>
                </pic:spPr>
              </pic:pic>
            </a:graphicData>
          </a:graphic>
        </wp:anchor>
      </w:drawing>
    </w:r>
  </w:p>
  <w:p w:rsidR="00A01963" w:rsidRDefault="00A01963" w:rsidP="00A01963">
    <w:pPr>
      <w:pStyle w:val="Kopfzeile"/>
    </w:pPr>
  </w:p>
  <w:p w:rsidR="00A01963" w:rsidRDefault="00A01963" w:rsidP="00A01963">
    <w:pPr>
      <w:pStyle w:val="Kopfzeile"/>
      <w:rPr>
        <w:sz w:val="16"/>
      </w:rPr>
    </w:pPr>
  </w:p>
  <w:p w:rsidR="00A01963" w:rsidRDefault="001B3350" w:rsidP="00A01963">
    <w:pPr>
      <w:pStyle w:val="Kopfzeile"/>
      <w:tabs>
        <w:tab w:val="clear" w:pos="4536"/>
        <w:tab w:val="clear" w:pos="9072"/>
        <w:tab w:val="left" w:pos="7513"/>
        <w:tab w:val="left" w:pos="8080"/>
        <w:tab w:val="right" w:pos="9214"/>
      </w:tabs>
      <w:rPr>
        <w:sz w:val="12"/>
      </w:rPr>
    </w:pPr>
    <w:r w:rsidRPr="001B3350">
      <w:rPr>
        <w:szCs w:val="20"/>
      </w:rPr>
      <w:pict>
        <v:shapetype id="_x0000_t202" coordsize="21600,21600" o:spt="202" path="m,l,21600r21600,l21600,xe">
          <v:stroke joinstyle="miter"/>
          <v:path gradientshapeok="t" o:connecttype="rect"/>
        </v:shapetype>
        <v:shape id="_x0000_s2050" type="#_x0000_t202" style="position:absolute;margin-left:-8.45pt;margin-top:1.2pt;width:420pt;height:62.25pt;z-index:251658240" stroked="f">
          <v:textbox>
            <w:txbxContent>
              <w:p w:rsidR="00A01963" w:rsidRPr="008C74DA" w:rsidRDefault="002A1CC1">
                <w:pPr>
                  <w:rPr>
                    <w:lang w:val="en-US"/>
                  </w:rPr>
                </w:pPr>
                <w:r>
                  <w:rPr>
                    <w:noProof/>
                    <w:sz w:val="16"/>
                    <w:lang w:bidi="ar-SA"/>
                  </w:rPr>
                  <w:drawing>
                    <wp:inline distT="0" distB="0" distL="0" distR="0">
                      <wp:extent cx="5076825" cy="657225"/>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76825" cy="657225"/>
                              </a:xfrm>
                              <a:prstGeom prst="rect">
                                <a:avLst/>
                              </a:prstGeom>
                              <a:noFill/>
                              <a:ln w="9525">
                                <a:noFill/>
                                <a:miter lim="800000"/>
                                <a:headEnd/>
                                <a:tailEnd/>
                              </a:ln>
                            </pic:spPr>
                          </pic:pic>
                        </a:graphicData>
                      </a:graphic>
                    </wp:inline>
                  </w:drawing>
                </w:r>
              </w:p>
            </w:txbxContent>
          </v:textbox>
        </v:shape>
      </w:pict>
    </w:r>
    <w:r w:rsidR="00A01963">
      <w:tab/>
    </w: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rsidP="00A01963">
    <w:pPr>
      <w:pStyle w:val="Kopfzeile"/>
      <w:tabs>
        <w:tab w:val="clear" w:pos="4536"/>
        <w:tab w:val="clear" w:pos="9072"/>
        <w:tab w:val="left" w:pos="7513"/>
        <w:tab w:val="left" w:pos="8080"/>
        <w:tab w:val="right" w:pos="9214"/>
      </w:tabs>
      <w:rPr>
        <w:sz w:val="12"/>
      </w:rPr>
    </w:pPr>
  </w:p>
  <w:p w:rsidR="00A01963" w:rsidRDefault="00A019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3372CC"/>
    <w:multiLevelType w:val="hybridMultilevel"/>
    <w:tmpl w:val="8DBE1CE6"/>
    <w:lvl w:ilvl="0" w:tplc="00010407">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09"/>
  <w:autoHyphenation/>
  <w:hyphenationZone w:val="425"/>
  <w:doNotHyphenateCaps/>
  <w:drawingGridHorizontalSpacing w:val="12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77629"/>
    <w:rsid w:val="0011215A"/>
    <w:rsid w:val="001B3350"/>
    <w:rsid w:val="002A1CC1"/>
    <w:rsid w:val="00365BAD"/>
    <w:rsid w:val="004A678D"/>
    <w:rsid w:val="00500E7B"/>
    <w:rsid w:val="00633536"/>
    <w:rsid w:val="00877629"/>
    <w:rsid w:val="008B7A54"/>
    <w:rsid w:val="009C5211"/>
    <w:rsid w:val="00A01963"/>
    <w:rsid w:val="00AB53EB"/>
    <w:rsid w:val="00C11623"/>
    <w:rsid w:val="00C17CC0"/>
    <w:rsid w:val="00C71385"/>
    <w:rsid w:val="00CF50AC"/>
    <w:rsid w:val="00D668E8"/>
    <w:rsid w:val="00E70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46E6"/>
    <w:rPr>
      <w:rFonts w:ascii="Arial" w:hAnsi="Arial" w:cs="Arial"/>
      <w:sz w:val="24"/>
      <w:szCs w:val="24"/>
      <w:lang w:bidi="en-US"/>
    </w:rPr>
  </w:style>
  <w:style w:type="paragraph" w:styleId="berschrift1">
    <w:name w:val="heading 1"/>
    <w:basedOn w:val="Standard"/>
    <w:qFormat/>
    <w:rsid w:val="00F544A1"/>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F544A1"/>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rsid w:val="00F544A1"/>
    <w:rPr>
      <w:rFonts w:cs="Times New Roman"/>
      <w:b/>
      <w:bCs/>
      <w:kern w:val="36"/>
      <w:sz w:val="48"/>
    </w:rPr>
  </w:style>
  <w:style w:type="character" w:customStyle="1" w:styleId="Heading2Char">
    <w:name w:val="Heading 2 Char"/>
    <w:basedOn w:val="Absatz-Standardschriftart"/>
    <w:rsid w:val="00F544A1"/>
    <w:rPr>
      <w:rFonts w:cs="Times New Roman"/>
      <w:b/>
      <w:bCs/>
      <w:sz w:val="36"/>
    </w:rPr>
  </w:style>
  <w:style w:type="paragraph" w:customStyle="1" w:styleId="Text">
    <w:name w:val="Text"/>
    <w:basedOn w:val="Standard"/>
    <w:rsid w:val="002F46E6"/>
    <w:rPr>
      <w:sz w:val="22"/>
      <w:szCs w:val="22"/>
    </w:rPr>
  </w:style>
  <w:style w:type="paragraph" w:styleId="Kopfzeile">
    <w:name w:val="header"/>
    <w:basedOn w:val="Standard"/>
    <w:rsid w:val="002F46E6"/>
    <w:pPr>
      <w:tabs>
        <w:tab w:val="center" w:pos="4536"/>
        <w:tab w:val="right" w:pos="9072"/>
      </w:tabs>
    </w:pPr>
  </w:style>
  <w:style w:type="character" w:customStyle="1" w:styleId="HeaderChar">
    <w:name w:val="Header Char"/>
    <w:basedOn w:val="Absatz-Standardschriftart"/>
    <w:semiHidden/>
    <w:rsid w:val="002F46E6"/>
    <w:rPr>
      <w:rFonts w:ascii="Arial" w:hAnsi="Arial" w:cs="Arial"/>
      <w:sz w:val="24"/>
    </w:rPr>
  </w:style>
  <w:style w:type="paragraph" w:styleId="Fuzeile">
    <w:name w:val="footer"/>
    <w:basedOn w:val="Standard"/>
    <w:semiHidden/>
    <w:rsid w:val="002F46E6"/>
    <w:pPr>
      <w:tabs>
        <w:tab w:val="center" w:pos="4536"/>
        <w:tab w:val="right" w:pos="9072"/>
      </w:tabs>
    </w:pPr>
  </w:style>
  <w:style w:type="character" w:customStyle="1" w:styleId="FooterChar">
    <w:name w:val="Footer Char"/>
    <w:basedOn w:val="Absatz-Standardschriftart"/>
    <w:semiHidden/>
    <w:rsid w:val="002F46E6"/>
    <w:rPr>
      <w:rFonts w:ascii="Arial" w:hAnsi="Arial" w:cs="Arial"/>
      <w:sz w:val="24"/>
    </w:rPr>
  </w:style>
  <w:style w:type="paragraph" w:styleId="Textkrper">
    <w:name w:val="Body Text"/>
    <w:basedOn w:val="Standard"/>
    <w:rsid w:val="002F46E6"/>
    <w:pPr>
      <w:framePr w:w="229" w:h="3889" w:hSpace="141" w:wrap="around" w:vAnchor="text" w:hAnchor="page" w:x="463" w:y="6359"/>
      <w:textDirection w:val="btLr"/>
    </w:pPr>
    <w:rPr>
      <w:rFonts w:ascii="Helvetica" w:hAnsi="Helvetica" w:cs="Helvetica"/>
      <w:sz w:val="14"/>
      <w:szCs w:val="14"/>
    </w:rPr>
  </w:style>
  <w:style w:type="character" w:customStyle="1" w:styleId="BodyTextChar">
    <w:name w:val="Body Text Char"/>
    <w:basedOn w:val="Absatz-Standardschriftart"/>
    <w:semiHidden/>
    <w:rsid w:val="002F46E6"/>
    <w:rPr>
      <w:rFonts w:ascii="Arial" w:hAnsi="Arial" w:cs="Arial"/>
      <w:sz w:val="24"/>
    </w:rPr>
  </w:style>
  <w:style w:type="paragraph" w:styleId="Textkrper2">
    <w:name w:val="Body Text 2"/>
    <w:basedOn w:val="Standard"/>
    <w:rsid w:val="002F46E6"/>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BodyText2Char">
    <w:name w:val="Body Text 2 Char"/>
    <w:basedOn w:val="Absatz-Standardschriftart"/>
    <w:semiHidden/>
    <w:rsid w:val="002F46E6"/>
    <w:rPr>
      <w:rFonts w:ascii="Arial" w:hAnsi="Arial" w:cs="Arial"/>
      <w:sz w:val="24"/>
    </w:rPr>
  </w:style>
  <w:style w:type="paragraph" w:styleId="Textkrper3">
    <w:name w:val="Body Text 3"/>
    <w:basedOn w:val="Standard"/>
    <w:rsid w:val="002F46E6"/>
    <w:pPr>
      <w:framePr w:w="7623" w:h="11382" w:hSpace="141" w:wrap="around" w:vAnchor="text" w:hAnchor="page" w:x="2305" w:y="147"/>
    </w:pPr>
  </w:style>
  <w:style w:type="character" w:customStyle="1" w:styleId="BodyText3Char">
    <w:name w:val="Body Text 3 Char"/>
    <w:basedOn w:val="Absatz-Standardschriftart"/>
    <w:semiHidden/>
    <w:rsid w:val="002F46E6"/>
    <w:rPr>
      <w:rFonts w:ascii="Arial" w:hAnsi="Arial" w:cs="Arial"/>
      <w:sz w:val="16"/>
    </w:rPr>
  </w:style>
  <w:style w:type="paragraph" w:styleId="Sprechblasentext">
    <w:name w:val="Balloon Text"/>
    <w:basedOn w:val="Standard"/>
    <w:semiHidden/>
    <w:rsid w:val="00BA0DE7"/>
    <w:rPr>
      <w:rFonts w:ascii="Tahoma" w:hAnsi="Tahoma" w:cs="Tahoma"/>
      <w:sz w:val="16"/>
      <w:szCs w:val="16"/>
    </w:rPr>
  </w:style>
  <w:style w:type="character" w:customStyle="1" w:styleId="BalloonTextChar">
    <w:name w:val="Balloon Text Char"/>
    <w:basedOn w:val="Absatz-Standardschriftart"/>
    <w:semiHidden/>
    <w:rsid w:val="002F46E6"/>
    <w:rPr>
      <w:rFonts w:ascii="Tahoma" w:hAnsi="Tahoma" w:cs="Tahoma"/>
      <w:sz w:val="16"/>
    </w:rPr>
  </w:style>
  <w:style w:type="character" w:styleId="Hyperlink">
    <w:name w:val="Hyperlink"/>
    <w:basedOn w:val="Absatz-Standardschriftart"/>
    <w:rsid w:val="000E5C70"/>
    <w:rPr>
      <w:rFonts w:cs="Times New Roman"/>
      <w:color w:val="0000FF"/>
      <w:u w:val="single"/>
    </w:rPr>
  </w:style>
  <w:style w:type="character" w:styleId="Seitenzahl">
    <w:name w:val="page number"/>
    <w:basedOn w:val="Absatz-Standardschriftart"/>
    <w:rsid w:val="000E5C70"/>
    <w:rPr>
      <w:rFonts w:cs="Times New Roman"/>
    </w:rPr>
  </w:style>
  <w:style w:type="character" w:customStyle="1" w:styleId="location">
    <w:name w:val="location"/>
    <w:basedOn w:val="Absatz-Standardschriftart"/>
    <w:rsid w:val="00F544A1"/>
    <w:rPr>
      <w:rFonts w:cs="Times New Roman"/>
    </w:rPr>
  </w:style>
  <w:style w:type="paragraph" w:styleId="StandardWeb">
    <w:name w:val="Normal (Web)"/>
    <w:basedOn w:val="Standard"/>
    <w:semiHidden/>
    <w:rsid w:val="00F544A1"/>
    <w:pPr>
      <w:spacing w:before="100" w:beforeAutospacing="1" w:after="100" w:afterAutospacing="1"/>
    </w:pPr>
    <w:rPr>
      <w:rFonts w:ascii="Times New Roman" w:hAnsi="Times New Roman" w:cs="Times New Roman"/>
    </w:rPr>
  </w:style>
  <w:style w:type="paragraph" w:customStyle="1" w:styleId="TabellenInhalt">
    <w:name w:val="Tabellen Inhalt"/>
    <w:basedOn w:val="Standard"/>
    <w:rsid w:val="008152BD"/>
    <w:pPr>
      <w:widowControl w:val="0"/>
      <w:suppressLineNumbers/>
      <w:suppressAutoHyphens/>
    </w:pPr>
    <w:rPr>
      <w:rFonts w:ascii="Times New Roman" w:hAnsi="Times New Roman" w:cs="Times New Roman"/>
      <w:kern w:val="1"/>
    </w:rPr>
  </w:style>
  <w:style w:type="paragraph" w:customStyle="1" w:styleId="Listenabsatz1">
    <w:name w:val="Listenabsatz1"/>
    <w:basedOn w:val="Standard"/>
    <w:rsid w:val="00B90CB9"/>
    <w:pPr>
      <w:ind w:left="720"/>
      <w:contextualSpacing/>
    </w:pPr>
  </w:style>
  <w:style w:type="paragraph" w:customStyle="1" w:styleId="Standa">
    <w:name w:val="Standa"/>
    <w:rsid w:val="00F34034"/>
    <w:rPr>
      <w:rFonts w:ascii="Times" w:hAnsi="Times"/>
      <w:sz w:val="24"/>
      <w:lang w:bidi="en-US"/>
    </w:rPr>
  </w:style>
  <w:style w:type="character" w:styleId="Kommentarzeichen">
    <w:name w:val="annotation reference"/>
    <w:basedOn w:val="Absatz-Standardschriftart"/>
    <w:semiHidden/>
    <w:rsid w:val="00C11623"/>
    <w:rPr>
      <w:sz w:val="18"/>
    </w:rPr>
  </w:style>
  <w:style w:type="paragraph" w:styleId="Kommentartext">
    <w:name w:val="annotation text"/>
    <w:basedOn w:val="Standard"/>
    <w:link w:val="KommentartextZchn"/>
    <w:semiHidden/>
    <w:rsid w:val="00C11623"/>
  </w:style>
  <w:style w:type="character" w:customStyle="1" w:styleId="KommentartextZchn">
    <w:name w:val="Kommentartext Zchn"/>
    <w:basedOn w:val="Absatz-Standardschriftart"/>
    <w:link w:val="Kommentartext"/>
    <w:semiHidden/>
    <w:rsid w:val="00C11623"/>
    <w:rPr>
      <w:rFonts w:ascii="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divs>
    <w:div w:id="17286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hart.martin@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AMV0405\TESA-LOC001\DATEN\1100_Unternehmenskom\Jahres-PKs\PK%202012\Texte\final\englisch\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4553</Characters>
  <Application>Microsoft Office Word</Application>
  <DocSecurity>0</DocSecurity>
  <Lines>103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tesa AG</vt:lpstr>
      <vt:lpstr>tesa AG</vt:lpstr>
    </vt:vector>
  </TitlesOfParts>
  <Company>Beiersdorf AG</Company>
  <LinksUpToDate>false</LinksUpToDate>
  <CharactersWithSpaces>5307</CharactersWithSpaces>
  <SharedDoc>false</SharedDoc>
  <HLinks>
    <vt:vector size="12" baseType="variant">
      <vt:variant>
        <vt:i4>7340037</vt:i4>
      </vt:variant>
      <vt:variant>
        <vt:i4>3</vt:i4>
      </vt:variant>
      <vt:variant>
        <vt:i4>0</vt:i4>
      </vt:variant>
      <vt:variant>
        <vt:i4>5</vt:i4>
      </vt:variant>
      <vt:variant>
        <vt:lpwstr>mailto:reinhart.martin@tesa.com</vt:lpwstr>
      </vt:variant>
      <vt:variant>
        <vt:lpwstr/>
      </vt:variant>
      <vt:variant>
        <vt:i4>2490428</vt:i4>
      </vt:variant>
      <vt:variant>
        <vt:i4>0</vt:i4>
      </vt:variant>
      <vt:variant>
        <vt:i4>0</vt:i4>
      </vt:variant>
      <vt:variant>
        <vt:i4>5</vt:i4>
      </vt:variant>
      <vt:variant>
        <vt:lpwstr>http://www.tesa.com/presse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Dörte Besinger</cp:lastModifiedBy>
  <cp:revision>3</cp:revision>
  <cp:lastPrinted>2012-03-07T07:05:00Z</cp:lastPrinted>
  <dcterms:created xsi:type="dcterms:W3CDTF">2013-02-27T11:48:00Z</dcterms:created>
  <dcterms:modified xsi:type="dcterms:W3CDTF">2013-03-14T09:31:00Z</dcterms:modified>
</cp:coreProperties>
</file>