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70" w:rsidRPr="00755C58" w:rsidRDefault="000E5C70" w:rsidP="00A215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</w:pPr>
    </w:p>
    <w:p w:rsidR="000E5C70" w:rsidRPr="00755C58" w:rsidRDefault="000E5C70" w:rsidP="00A215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</w:pPr>
    </w:p>
    <w:p w:rsidR="00E31ABD" w:rsidRPr="000C0898" w:rsidRDefault="00920049" w:rsidP="00D6035F">
      <w:pPr>
        <w:jc w:val="right"/>
        <w:rPr>
          <w:sz w:val="22"/>
          <w:szCs w:val="22"/>
        </w:rPr>
      </w:pPr>
      <w:r>
        <w:rPr>
          <w:sz w:val="22"/>
          <w:szCs w:val="22"/>
        </w:rPr>
        <w:t>Frankfurt, 26.03.2014</w:t>
      </w:r>
    </w:p>
    <w:p w:rsidR="00E31ABD" w:rsidRDefault="00E31ABD" w:rsidP="001B7655">
      <w:pPr>
        <w:ind w:left="567" w:right="-569"/>
        <w:rPr>
          <w:b/>
        </w:rPr>
      </w:pPr>
    </w:p>
    <w:p w:rsidR="008F6B4E" w:rsidRDefault="008F6B4E" w:rsidP="001B7655">
      <w:pPr>
        <w:ind w:left="567" w:right="-569"/>
        <w:rPr>
          <w:b/>
        </w:rPr>
      </w:pPr>
    </w:p>
    <w:p w:rsidR="007E49C9" w:rsidRDefault="00DD341D" w:rsidP="0032459A">
      <w:pPr>
        <w:ind w:left="-284" w:right="-1"/>
        <w:rPr>
          <w:b/>
          <w:bCs/>
          <w:color w:val="000000" w:themeColor="text1"/>
        </w:rPr>
      </w:pPr>
      <w:r w:rsidRPr="00DD341D">
        <w:rPr>
          <w:b/>
        </w:rPr>
        <w:t>tesa SE</w:t>
      </w:r>
      <w:r w:rsidR="00527D19">
        <w:rPr>
          <w:b/>
          <w:bCs/>
          <w:color w:val="000000" w:themeColor="text1"/>
        </w:rPr>
        <w:t xml:space="preserve"> erneut mit dynamischem Wachstum</w:t>
      </w:r>
      <w:r w:rsidR="007E49C9">
        <w:rPr>
          <w:b/>
          <w:bCs/>
          <w:color w:val="000000" w:themeColor="text1"/>
        </w:rPr>
        <w:t xml:space="preserve"> </w:t>
      </w:r>
    </w:p>
    <w:p w:rsidR="00A42C63" w:rsidRDefault="00527D19" w:rsidP="00DD214D">
      <w:pPr>
        <w:ind w:left="-284" w:right="-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Ungebrochener Erfolg</w:t>
      </w:r>
      <w:r w:rsidR="00F42A19">
        <w:rPr>
          <w:b/>
          <w:bCs/>
          <w:color w:val="000000" w:themeColor="text1"/>
        </w:rPr>
        <w:t xml:space="preserve"> </w:t>
      </w:r>
      <w:r w:rsidR="003128FE">
        <w:rPr>
          <w:b/>
          <w:bCs/>
          <w:color w:val="000000" w:themeColor="text1"/>
        </w:rPr>
        <w:t>in Asien</w:t>
      </w:r>
      <w:r w:rsidR="00DD214D">
        <w:rPr>
          <w:b/>
          <w:bCs/>
          <w:color w:val="000000" w:themeColor="text1"/>
        </w:rPr>
        <w:t xml:space="preserve"> – </w:t>
      </w:r>
      <w:r w:rsidR="00B17AB5">
        <w:rPr>
          <w:b/>
          <w:bCs/>
          <w:color w:val="000000" w:themeColor="text1"/>
        </w:rPr>
        <w:t>Elektronik</w:t>
      </w:r>
      <w:r w:rsidR="001554FE">
        <w:rPr>
          <w:b/>
          <w:bCs/>
          <w:color w:val="000000" w:themeColor="text1"/>
        </w:rPr>
        <w:t>- und Automobil</w:t>
      </w:r>
      <w:r w:rsidR="00B17AB5">
        <w:rPr>
          <w:b/>
          <w:bCs/>
          <w:color w:val="000000" w:themeColor="text1"/>
        </w:rPr>
        <w:t>industrie im Fokus</w:t>
      </w:r>
    </w:p>
    <w:p w:rsidR="00A42C63" w:rsidRDefault="00A42C63" w:rsidP="0032459A">
      <w:pPr>
        <w:ind w:left="-284" w:right="-1"/>
        <w:rPr>
          <w:b/>
          <w:bCs/>
          <w:color w:val="000000" w:themeColor="text1"/>
        </w:rPr>
      </w:pPr>
    </w:p>
    <w:p w:rsidR="00A42C63" w:rsidRPr="0082463E" w:rsidRDefault="00CD4195" w:rsidP="0032459A">
      <w:pPr>
        <w:pStyle w:val="Listenabsatz"/>
        <w:numPr>
          <w:ilvl w:val="0"/>
          <w:numId w:val="4"/>
        </w:numPr>
        <w:ind w:left="-284" w:right="-1" w:firstLine="0"/>
        <w:rPr>
          <w:b/>
          <w:bCs/>
        </w:rPr>
      </w:pPr>
      <w:r w:rsidRPr="0082463E">
        <w:rPr>
          <w:b/>
          <w:bCs/>
          <w:sz w:val="22"/>
          <w:szCs w:val="22"/>
        </w:rPr>
        <w:t>Umsatz legt</w:t>
      </w:r>
      <w:r w:rsidR="00DA211D" w:rsidRPr="0082463E">
        <w:rPr>
          <w:b/>
          <w:bCs/>
          <w:sz w:val="22"/>
          <w:szCs w:val="22"/>
        </w:rPr>
        <w:t xml:space="preserve"> um 8, 5</w:t>
      </w:r>
      <w:r w:rsidR="004156FB" w:rsidRPr="0082463E">
        <w:rPr>
          <w:b/>
          <w:bCs/>
          <w:sz w:val="22"/>
          <w:szCs w:val="22"/>
        </w:rPr>
        <w:t xml:space="preserve"> </w:t>
      </w:r>
      <w:r w:rsidRPr="0082463E">
        <w:rPr>
          <w:b/>
          <w:bCs/>
          <w:sz w:val="22"/>
          <w:szCs w:val="22"/>
        </w:rPr>
        <w:t>% zu,</w:t>
      </w:r>
      <w:r w:rsidR="008E3844" w:rsidRPr="0082463E">
        <w:rPr>
          <w:b/>
          <w:bCs/>
          <w:sz w:val="22"/>
          <w:szCs w:val="22"/>
        </w:rPr>
        <w:t xml:space="preserve"> </w:t>
      </w:r>
      <w:r w:rsidR="003F57D7" w:rsidRPr="0082463E">
        <w:rPr>
          <w:b/>
          <w:bCs/>
          <w:sz w:val="22"/>
          <w:szCs w:val="22"/>
        </w:rPr>
        <w:t xml:space="preserve">Umsatzrendite bei </w:t>
      </w:r>
      <w:r w:rsidR="00DA211D" w:rsidRPr="0082463E">
        <w:rPr>
          <w:b/>
          <w:bCs/>
          <w:sz w:val="22"/>
          <w:szCs w:val="22"/>
        </w:rPr>
        <w:t>16,9</w:t>
      </w:r>
      <w:r w:rsidR="00D14B67" w:rsidRPr="0082463E">
        <w:rPr>
          <w:b/>
          <w:bCs/>
          <w:sz w:val="22"/>
          <w:szCs w:val="22"/>
        </w:rPr>
        <w:t xml:space="preserve"> %</w:t>
      </w:r>
    </w:p>
    <w:p w:rsidR="00540019" w:rsidRPr="00A42C63" w:rsidRDefault="001554FE" w:rsidP="0032459A">
      <w:pPr>
        <w:pStyle w:val="Listenabsatz"/>
        <w:numPr>
          <w:ilvl w:val="0"/>
          <w:numId w:val="4"/>
        </w:numPr>
        <w:ind w:left="-284" w:right="-1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Wachstum mit Produkten für</w:t>
      </w:r>
      <w:r w:rsidR="00BB304F">
        <w:rPr>
          <w:b/>
          <w:bCs/>
          <w:color w:val="000000" w:themeColor="text1"/>
          <w:sz w:val="22"/>
          <w:szCs w:val="22"/>
        </w:rPr>
        <w:t xml:space="preserve"> Tablet-PCs und Smartphones</w:t>
      </w:r>
    </w:p>
    <w:p w:rsidR="00D8498F" w:rsidRPr="00D8498F" w:rsidRDefault="00D8498F" w:rsidP="0032459A">
      <w:pPr>
        <w:pStyle w:val="Listenabsatz"/>
        <w:numPr>
          <w:ilvl w:val="0"/>
          <w:numId w:val="4"/>
        </w:numPr>
        <w:ind w:left="-284" w:right="-1" w:firstLine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Consumergeschäft</w:t>
      </w:r>
      <w:proofErr w:type="spellEnd"/>
      <w:r w:rsidR="00B17AB5">
        <w:rPr>
          <w:b/>
          <w:bCs/>
          <w:color w:val="000000" w:themeColor="text1"/>
          <w:sz w:val="22"/>
          <w:szCs w:val="22"/>
        </w:rPr>
        <w:t>: Position in Europa gestärkt</w:t>
      </w:r>
    </w:p>
    <w:p w:rsidR="00391031" w:rsidRPr="00540019" w:rsidRDefault="00AF40A3" w:rsidP="0032459A">
      <w:pPr>
        <w:pStyle w:val="Listenabsatz"/>
        <w:numPr>
          <w:ilvl w:val="0"/>
          <w:numId w:val="4"/>
        </w:numPr>
        <w:ind w:left="-284" w:right="-1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Erste Umsätze mit a</w:t>
      </w:r>
      <w:r w:rsidR="00540019">
        <w:rPr>
          <w:b/>
          <w:bCs/>
          <w:color w:val="000000" w:themeColor="text1"/>
          <w:sz w:val="22"/>
          <w:szCs w:val="22"/>
        </w:rPr>
        <w:t>rzneimittelhaltige</w:t>
      </w:r>
      <w:r>
        <w:rPr>
          <w:b/>
          <w:bCs/>
          <w:color w:val="000000" w:themeColor="text1"/>
          <w:sz w:val="22"/>
          <w:szCs w:val="22"/>
        </w:rPr>
        <w:t>n</w:t>
      </w:r>
      <w:r w:rsidR="00540019">
        <w:rPr>
          <w:b/>
          <w:bCs/>
          <w:color w:val="000000" w:themeColor="text1"/>
          <w:sz w:val="22"/>
          <w:szCs w:val="22"/>
        </w:rPr>
        <w:t xml:space="preserve"> Pflas</w:t>
      </w:r>
      <w:r>
        <w:rPr>
          <w:b/>
          <w:bCs/>
          <w:color w:val="000000" w:themeColor="text1"/>
          <w:sz w:val="22"/>
          <w:szCs w:val="22"/>
        </w:rPr>
        <w:t xml:space="preserve">tern </w:t>
      </w:r>
      <w:r w:rsidR="00B27D4E" w:rsidRPr="00540019">
        <w:rPr>
          <w:b/>
          <w:bCs/>
          <w:color w:val="000000" w:themeColor="text1"/>
          <w:sz w:val="22"/>
          <w:szCs w:val="22"/>
        </w:rPr>
        <w:t xml:space="preserve"> </w:t>
      </w:r>
      <w:r w:rsidR="00F42A19" w:rsidRPr="00540019">
        <w:rPr>
          <w:b/>
          <w:bCs/>
          <w:color w:val="000000" w:themeColor="text1"/>
          <w:sz w:val="22"/>
          <w:szCs w:val="22"/>
        </w:rPr>
        <w:t xml:space="preserve"> </w:t>
      </w:r>
    </w:p>
    <w:p w:rsidR="00382169" w:rsidRPr="00382169" w:rsidRDefault="00382169" w:rsidP="0032459A">
      <w:pPr>
        <w:pStyle w:val="Listenabsatz"/>
        <w:spacing w:line="360" w:lineRule="auto"/>
        <w:ind w:left="-284" w:right="-1"/>
        <w:rPr>
          <w:b/>
          <w:bCs/>
          <w:color w:val="000000" w:themeColor="text1"/>
        </w:rPr>
      </w:pPr>
    </w:p>
    <w:p w:rsidR="003962DD" w:rsidRPr="0082463E" w:rsidRDefault="00527D19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  <w:r w:rsidRPr="0082463E">
        <w:rPr>
          <w:b/>
          <w:sz w:val="22"/>
          <w:szCs w:val="22"/>
        </w:rPr>
        <w:t>Frankfurt, 26</w:t>
      </w:r>
      <w:r w:rsidR="005801CB" w:rsidRPr="0082463E">
        <w:rPr>
          <w:b/>
          <w:sz w:val="22"/>
          <w:szCs w:val="22"/>
        </w:rPr>
        <w:t>.03.201</w:t>
      </w:r>
      <w:r w:rsidRPr="0082463E">
        <w:rPr>
          <w:b/>
          <w:sz w:val="22"/>
          <w:szCs w:val="22"/>
        </w:rPr>
        <w:t>4</w:t>
      </w:r>
      <w:r w:rsidR="005801CB" w:rsidRPr="0082463E">
        <w:rPr>
          <w:sz w:val="22"/>
          <w:szCs w:val="22"/>
        </w:rPr>
        <w:t xml:space="preserve"> –</w:t>
      </w:r>
      <w:r w:rsidR="00B17AB5" w:rsidRPr="0082463E">
        <w:rPr>
          <w:sz w:val="22"/>
          <w:szCs w:val="22"/>
        </w:rPr>
        <w:t xml:space="preserve"> Die tesa SE hat 2013</w:t>
      </w:r>
      <w:r w:rsidR="004304E2" w:rsidRPr="0082463E">
        <w:rPr>
          <w:sz w:val="22"/>
          <w:szCs w:val="22"/>
        </w:rPr>
        <w:t xml:space="preserve"> erneut an die</w:t>
      </w:r>
      <w:r w:rsidR="008550B0" w:rsidRPr="0082463E">
        <w:rPr>
          <w:sz w:val="22"/>
          <w:szCs w:val="22"/>
        </w:rPr>
        <w:t xml:space="preserve"> positive Entwicklung </w:t>
      </w:r>
      <w:r w:rsidR="004304E2" w:rsidRPr="0082463E">
        <w:rPr>
          <w:sz w:val="22"/>
          <w:szCs w:val="22"/>
        </w:rPr>
        <w:t>der Vorjahre angeknüpft</w:t>
      </w:r>
      <w:r w:rsidR="009C3137" w:rsidRPr="0082463E">
        <w:rPr>
          <w:sz w:val="22"/>
          <w:szCs w:val="22"/>
        </w:rPr>
        <w:t>. Der Umsatz</w:t>
      </w:r>
      <w:r w:rsidR="005801CB" w:rsidRPr="0082463E">
        <w:rPr>
          <w:sz w:val="22"/>
          <w:szCs w:val="22"/>
        </w:rPr>
        <w:t xml:space="preserve"> </w:t>
      </w:r>
      <w:r w:rsidR="00DA5E0A" w:rsidRPr="0082463E">
        <w:rPr>
          <w:sz w:val="22"/>
          <w:szCs w:val="22"/>
        </w:rPr>
        <w:t>stieg</w:t>
      </w:r>
      <w:r w:rsidR="00383B27" w:rsidRPr="0082463E">
        <w:rPr>
          <w:sz w:val="22"/>
          <w:szCs w:val="22"/>
        </w:rPr>
        <w:t xml:space="preserve"> </w:t>
      </w:r>
      <w:r w:rsidR="00DA211D" w:rsidRPr="0082463E">
        <w:rPr>
          <w:sz w:val="22"/>
          <w:szCs w:val="22"/>
        </w:rPr>
        <w:t xml:space="preserve">organisch </w:t>
      </w:r>
      <w:r w:rsidR="00383B27" w:rsidRPr="0082463E">
        <w:rPr>
          <w:sz w:val="22"/>
          <w:szCs w:val="22"/>
        </w:rPr>
        <w:t xml:space="preserve">um </w:t>
      </w:r>
      <w:r w:rsidR="00DA211D" w:rsidRPr="0082463E">
        <w:rPr>
          <w:sz w:val="22"/>
          <w:szCs w:val="22"/>
        </w:rPr>
        <w:t>8,5</w:t>
      </w:r>
      <w:r w:rsidR="00E8447A" w:rsidRPr="0082463E">
        <w:rPr>
          <w:sz w:val="22"/>
          <w:szCs w:val="22"/>
        </w:rPr>
        <w:t xml:space="preserve"> %</w:t>
      </w:r>
      <w:r w:rsidR="00DA5E0A" w:rsidRPr="0082463E">
        <w:rPr>
          <w:sz w:val="22"/>
          <w:szCs w:val="22"/>
        </w:rPr>
        <w:t xml:space="preserve"> </w:t>
      </w:r>
      <w:r w:rsidR="00B7365A" w:rsidRPr="0082463E">
        <w:rPr>
          <w:sz w:val="22"/>
          <w:szCs w:val="22"/>
        </w:rPr>
        <w:t xml:space="preserve"> (</w:t>
      </w:r>
      <w:r w:rsidR="00DA211D" w:rsidRPr="0082463E">
        <w:rPr>
          <w:sz w:val="22"/>
          <w:szCs w:val="22"/>
        </w:rPr>
        <w:t>nominal</w:t>
      </w:r>
      <w:r w:rsidR="002F6BBD" w:rsidRPr="0082463E">
        <w:rPr>
          <w:sz w:val="22"/>
          <w:szCs w:val="22"/>
        </w:rPr>
        <w:t xml:space="preserve"> </w:t>
      </w:r>
      <w:r w:rsidR="00DA211D" w:rsidRPr="0082463E">
        <w:rPr>
          <w:sz w:val="22"/>
          <w:szCs w:val="22"/>
        </w:rPr>
        <w:t>+</w:t>
      </w:r>
      <w:r w:rsidR="004156FB" w:rsidRPr="0082463E">
        <w:rPr>
          <w:sz w:val="22"/>
          <w:szCs w:val="22"/>
        </w:rPr>
        <w:t>3,8 %) auf 1.038,5</w:t>
      </w:r>
      <w:r w:rsidR="00DA5E0A" w:rsidRPr="0082463E">
        <w:rPr>
          <w:sz w:val="22"/>
          <w:szCs w:val="22"/>
        </w:rPr>
        <w:t xml:space="preserve"> M</w:t>
      </w:r>
      <w:r w:rsidR="002F6BBD" w:rsidRPr="0082463E">
        <w:rPr>
          <w:sz w:val="22"/>
          <w:szCs w:val="22"/>
        </w:rPr>
        <w:t>io</w:t>
      </w:r>
      <w:r w:rsidR="004156FB" w:rsidRPr="0082463E">
        <w:rPr>
          <w:sz w:val="22"/>
          <w:szCs w:val="22"/>
        </w:rPr>
        <w:t>. € (Vorjahr 1.000,2</w:t>
      </w:r>
      <w:r w:rsidR="00B7365A" w:rsidRPr="0082463E">
        <w:rPr>
          <w:sz w:val="22"/>
          <w:szCs w:val="22"/>
        </w:rPr>
        <w:t xml:space="preserve"> Mio. €). </w:t>
      </w:r>
      <w:r w:rsidR="003962DD" w:rsidRPr="0082463E">
        <w:rPr>
          <w:sz w:val="22"/>
          <w:szCs w:val="22"/>
        </w:rPr>
        <w:t xml:space="preserve">Damit entwickelte sich tesa erneut </w:t>
      </w:r>
      <w:r w:rsidR="00480B85">
        <w:rPr>
          <w:sz w:val="22"/>
          <w:szCs w:val="22"/>
        </w:rPr>
        <w:t xml:space="preserve">deutlich </w:t>
      </w:r>
      <w:r w:rsidR="003962DD" w:rsidRPr="0082463E">
        <w:rPr>
          <w:sz w:val="22"/>
          <w:szCs w:val="22"/>
        </w:rPr>
        <w:t xml:space="preserve">besser als der Markt. </w:t>
      </w:r>
      <w:r w:rsidR="00762562" w:rsidRPr="0082463E">
        <w:rPr>
          <w:sz w:val="22"/>
          <w:szCs w:val="22"/>
        </w:rPr>
        <w:t xml:space="preserve">Das </w:t>
      </w:r>
      <w:r w:rsidR="00762562" w:rsidRPr="0082463E">
        <w:rPr>
          <w:b/>
          <w:sz w:val="22"/>
          <w:szCs w:val="22"/>
        </w:rPr>
        <w:t>betriebliche Ergebnis (EBIT)</w:t>
      </w:r>
      <w:r w:rsidR="00535FCA" w:rsidRPr="0082463E">
        <w:rPr>
          <w:sz w:val="22"/>
          <w:szCs w:val="22"/>
        </w:rPr>
        <w:t xml:space="preserve"> </w:t>
      </w:r>
      <w:r w:rsidR="00DA211D" w:rsidRPr="0082463E">
        <w:rPr>
          <w:sz w:val="22"/>
          <w:szCs w:val="22"/>
        </w:rPr>
        <w:t xml:space="preserve">vor Sondereffekten </w:t>
      </w:r>
      <w:r w:rsidR="00535FCA" w:rsidRPr="0082463E">
        <w:rPr>
          <w:sz w:val="22"/>
          <w:szCs w:val="22"/>
        </w:rPr>
        <w:t xml:space="preserve">erreichte </w:t>
      </w:r>
      <w:r w:rsidR="004304E2" w:rsidRPr="0082463E">
        <w:rPr>
          <w:sz w:val="22"/>
          <w:szCs w:val="22"/>
        </w:rPr>
        <w:t>175,8</w:t>
      </w:r>
      <w:r w:rsidR="00383B27" w:rsidRPr="0082463E">
        <w:rPr>
          <w:sz w:val="22"/>
          <w:szCs w:val="22"/>
        </w:rPr>
        <w:t xml:space="preserve"> </w:t>
      </w:r>
      <w:r w:rsidR="00762562" w:rsidRPr="0082463E">
        <w:rPr>
          <w:sz w:val="22"/>
          <w:szCs w:val="22"/>
        </w:rPr>
        <w:t xml:space="preserve">Mio. €. Dies entspricht einer </w:t>
      </w:r>
      <w:r w:rsidR="00762562" w:rsidRPr="0082463E">
        <w:rPr>
          <w:b/>
          <w:sz w:val="22"/>
          <w:szCs w:val="22"/>
        </w:rPr>
        <w:t xml:space="preserve">Umsatzrendite </w:t>
      </w:r>
      <w:r w:rsidR="00C02CBC" w:rsidRPr="0082463E">
        <w:rPr>
          <w:sz w:val="22"/>
          <w:szCs w:val="22"/>
        </w:rPr>
        <w:t>a</w:t>
      </w:r>
      <w:r w:rsidR="004304E2" w:rsidRPr="0082463E">
        <w:rPr>
          <w:sz w:val="22"/>
          <w:szCs w:val="22"/>
        </w:rPr>
        <w:t>uf EBIT-Basis</w:t>
      </w:r>
      <w:r w:rsidR="00DA211D" w:rsidRPr="0082463E">
        <w:rPr>
          <w:sz w:val="22"/>
          <w:szCs w:val="22"/>
        </w:rPr>
        <w:t xml:space="preserve"> vor Sondereffekten von 16,9</w:t>
      </w:r>
      <w:r w:rsidR="004156FB" w:rsidRPr="0082463E">
        <w:rPr>
          <w:sz w:val="22"/>
          <w:szCs w:val="22"/>
        </w:rPr>
        <w:t xml:space="preserve"> % (Vorjahr 12,9</w:t>
      </w:r>
      <w:r w:rsidR="00762562" w:rsidRPr="0082463E">
        <w:rPr>
          <w:sz w:val="22"/>
          <w:szCs w:val="22"/>
        </w:rPr>
        <w:t xml:space="preserve"> %)</w:t>
      </w:r>
      <w:r w:rsidR="00F51345" w:rsidRPr="0082463E">
        <w:rPr>
          <w:sz w:val="22"/>
          <w:szCs w:val="22"/>
        </w:rPr>
        <w:t>.</w:t>
      </w:r>
      <w:r w:rsidR="00A903C5" w:rsidRPr="0082463E">
        <w:rPr>
          <w:sz w:val="22"/>
          <w:szCs w:val="22"/>
        </w:rPr>
        <w:t xml:space="preserve"> </w:t>
      </w:r>
      <w:r w:rsidR="00AC209B" w:rsidRPr="0082463E">
        <w:rPr>
          <w:sz w:val="22"/>
          <w:szCs w:val="22"/>
        </w:rPr>
        <w:t xml:space="preserve">Das bereinigte Umsatzwachstum war </w:t>
      </w:r>
      <w:r w:rsidR="00A44FF3" w:rsidRPr="0082463E">
        <w:rPr>
          <w:sz w:val="22"/>
          <w:szCs w:val="22"/>
        </w:rPr>
        <w:t>erneut</w:t>
      </w:r>
      <w:r w:rsidR="00AC209B" w:rsidRPr="0082463E">
        <w:rPr>
          <w:sz w:val="22"/>
          <w:szCs w:val="22"/>
        </w:rPr>
        <w:t xml:space="preserve"> getragen</w:t>
      </w:r>
      <w:r w:rsidR="00DD0407" w:rsidRPr="0082463E">
        <w:rPr>
          <w:sz w:val="22"/>
          <w:szCs w:val="22"/>
        </w:rPr>
        <w:t xml:space="preserve"> von dem</w:t>
      </w:r>
      <w:r w:rsidR="00A903C5" w:rsidRPr="0082463E">
        <w:rPr>
          <w:sz w:val="22"/>
          <w:szCs w:val="22"/>
        </w:rPr>
        <w:t xml:space="preserve"> Geschäft mit Produkten für die </w:t>
      </w:r>
      <w:r w:rsidR="00A44FF3" w:rsidRPr="0082463E">
        <w:rPr>
          <w:sz w:val="22"/>
          <w:szCs w:val="22"/>
        </w:rPr>
        <w:t xml:space="preserve">fortgesetzt </w:t>
      </w:r>
      <w:r w:rsidR="00A903C5" w:rsidRPr="0082463E">
        <w:rPr>
          <w:sz w:val="22"/>
          <w:szCs w:val="22"/>
        </w:rPr>
        <w:t xml:space="preserve">boomende Elektronik- und Automobilindustrie in Asien und den USA. </w:t>
      </w:r>
    </w:p>
    <w:p w:rsidR="00A903C5" w:rsidRPr="0082463E" w:rsidRDefault="00A903C5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</w:p>
    <w:p w:rsidR="00522888" w:rsidRPr="0082463E" w:rsidRDefault="003962DD" w:rsidP="0032459A">
      <w:pPr>
        <w:autoSpaceDE w:val="0"/>
        <w:autoSpaceDN w:val="0"/>
        <w:adjustRightInd w:val="0"/>
        <w:ind w:left="-284" w:right="-1"/>
        <w:rPr>
          <w:b/>
          <w:sz w:val="22"/>
          <w:szCs w:val="22"/>
        </w:rPr>
      </w:pPr>
      <w:r w:rsidRPr="0082463E">
        <w:rPr>
          <w:b/>
          <w:sz w:val="22"/>
          <w:szCs w:val="22"/>
        </w:rPr>
        <w:t>„</w:t>
      </w:r>
      <w:r w:rsidR="00480B85">
        <w:rPr>
          <w:b/>
          <w:sz w:val="22"/>
          <w:szCs w:val="22"/>
        </w:rPr>
        <w:t>Mit dieser guten Entwicklung haben wir ein weiteres Geschäftsjahr sehr positiv abgeschlossen</w:t>
      </w:r>
      <w:r w:rsidR="003128FE" w:rsidRPr="0082463E">
        <w:rPr>
          <w:b/>
          <w:sz w:val="22"/>
          <w:szCs w:val="22"/>
        </w:rPr>
        <w:t>“</w:t>
      </w:r>
      <w:r w:rsidR="00DD214D" w:rsidRPr="00DD214D">
        <w:rPr>
          <w:sz w:val="22"/>
          <w:szCs w:val="22"/>
        </w:rPr>
        <w:t>,</w:t>
      </w:r>
      <w:r w:rsidR="00535FCA" w:rsidRPr="0082463E">
        <w:rPr>
          <w:b/>
          <w:sz w:val="22"/>
          <w:szCs w:val="22"/>
        </w:rPr>
        <w:t xml:space="preserve"> </w:t>
      </w:r>
      <w:r w:rsidR="00535FCA" w:rsidRPr="0082463E">
        <w:rPr>
          <w:sz w:val="22"/>
          <w:szCs w:val="22"/>
        </w:rPr>
        <w:t xml:space="preserve">sagte Thomas Schlegel, Vorstandsvorsitzender der tesa SE, auf der heutigen Presskonferenz in Frankfurt. </w:t>
      </w:r>
      <w:r w:rsidR="00BB304F" w:rsidRPr="0082463E">
        <w:rPr>
          <w:b/>
          <w:sz w:val="22"/>
          <w:szCs w:val="22"/>
        </w:rPr>
        <w:t>„</w:t>
      </w:r>
      <w:r w:rsidR="00480B85">
        <w:rPr>
          <w:b/>
          <w:sz w:val="22"/>
        </w:rPr>
        <w:t>Wir konzentrieren uns mit Erfolg</w:t>
      </w:r>
      <w:r w:rsidR="00583729" w:rsidRPr="0082463E">
        <w:rPr>
          <w:b/>
          <w:sz w:val="22"/>
        </w:rPr>
        <w:t xml:space="preserve"> auf die Entwicklung neuer Produkte und Technologien, den</w:t>
      </w:r>
      <w:r w:rsidR="00D5570C" w:rsidRPr="0082463E">
        <w:rPr>
          <w:b/>
          <w:sz w:val="22"/>
        </w:rPr>
        <w:t xml:space="preserve"> Aufbau neuer, attra</w:t>
      </w:r>
      <w:r w:rsidR="006B532D" w:rsidRPr="0082463E">
        <w:rPr>
          <w:b/>
          <w:sz w:val="22"/>
        </w:rPr>
        <w:t>ktiver Geschäftsfel</w:t>
      </w:r>
      <w:r w:rsidR="00583729" w:rsidRPr="0082463E">
        <w:rPr>
          <w:b/>
          <w:sz w:val="22"/>
        </w:rPr>
        <w:t>der</w:t>
      </w:r>
      <w:r w:rsidR="002B20D8" w:rsidRPr="0082463E">
        <w:rPr>
          <w:b/>
          <w:sz w:val="22"/>
        </w:rPr>
        <w:t xml:space="preserve"> </w:t>
      </w:r>
      <w:r w:rsidR="00D5570C" w:rsidRPr="0082463E">
        <w:rPr>
          <w:b/>
          <w:sz w:val="22"/>
        </w:rPr>
        <w:t>so</w:t>
      </w:r>
      <w:r w:rsidR="00583729" w:rsidRPr="0082463E">
        <w:rPr>
          <w:b/>
          <w:sz w:val="22"/>
        </w:rPr>
        <w:t>wie den</w:t>
      </w:r>
      <w:r w:rsidR="00D5570C" w:rsidRPr="0082463E">
        <w:rPr>
          <w:b/>
          <w:sz w:val="22"/>
        </w:rPr>
        <w:t xml:space="preserve"> konsequente</w:t>
      </w:r>
      <w:r w:rsidR="00583729" w:rsidRPr="0082463E">
        <w:rPr>
          <w:b/>
          <w:sz w:val="22"/>
        </w:rPr>
        <w:t>n</w:t>
      </w:r>
      <w:r w:rsidR="00D5570C" w:rsidRPr="0082463E">
        <w:rPr>
          <w:b/>
          <w:sz w:val="22"/>
        </w:rPr>
        <w:t xml:space="preserve"> Ausbau unserer Strukturen in den Wachstumsregionen</w:t>
      </w:r>
      <w:r w:rsidR="006B532D" w:rsidRPr="0082463E">
        <w:rPr>
          <w:b/>
          <w:sz w:val="22"/>
        </w:rPr>
        <w:t>.</w:t>
      </w:r>
      <w:r w:rsidR="00583729" w:rsidRPr="0082463E">
        <w:rPr>
          <w:b/>
          <w:sz w:val="22"/>
        </w:rPr>
        <w:t>“</w:t>
      </w:r>
      <w:r w:rsidR="00F51345" w:rsidRPr="0082463E">
        <w:rPr>
          <w:b/>
          <w:sz w:val="22"/>
          <w:szCs w:val="22"/>
        </w:rPr>
        <w:t xml:space="preserve"> </w:t>
      </w:r>
    </w:p>
    <w:p w:rsidR="000E2EC1" w:rsidRPr="0082463E" w:rsidRDefault="00522888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  <w:r w:rsidRPr="0082463E">
        <w:rPr>
          <w:sz w:val="22"/>
          <w:szCs w:val="22"/>
        </w:rPr>
        <w:t xml:space="preserve"> </w:t>
      </w:r>
    </w:p>
    <w:p w:rsidR="004217F5" w:rsidRPr="0082463E" w:rsidRDefault="004217F5" w:rsidP="0032459A">
      <w:pPr>
        <w:autoSpaceDE w:val="0"/>
        <w:autoSpaceDN w:val="0"/>
        <w:adjustRightInd w:val="0"/>
        <w:ind w:left="-284" w:right="-1"/>
        <w:rPr>
          <w:b/>
          <w:sz w:val="22"/>
          <w:szCs w:val="22"/>
          <w:lang w:val="de-AT"/>
        </w:rPr>
      </w:pPr>
      <w:r w:rsidRPr="0082463E">
        <w:rPr>
          <w:b/>
          <w:sz w:val="22"/>
          <w:szCs w:val="22"/>
          <w:lang w:val="de-AT"/>
        </w:rPr>
        <w:t>Fortschritt bei neuen Geschäftsfeldern</w:t>
      </w:r>
    </w:p>
    <w:p w:rsidR="004217F5" w:rsidRPr="0082463E" w:rsidRDefault="004217F5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</w:p>
    <w:p w:rsidR="00552988" w:rsidRPr="0082463E" w:rsidRDefault="00AF470A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  <w:r w:rsidRPr="0082463E">
        <w:rPr>
          <w:sz w:val="22"/>
          <w:szCs w:val="22"/>
          <w:lang w:val="de-AT"/>
        </w:rPr>
        <w:t>Im neu entstehenden Geschäftsbereich Building Suppl</w:t>
      </w:r>
      <w:r w:rsidR="00D974B4" w:rsidRPr="0082463E">
        <w:rPr>
          <w:sz w:val="22"/>
          <w:szCs w:val="22"/>
          <w:lang w:val="de-AT"/>
        </w:rPr>
        <w:t xml:space="preserve">y </w:t>
      </w:r>
      <w:r w:rsidR="009034B6" w:rsidRPr="0082463E">
        <w:rPr>
          <w:sz w:val="22"/>
          <w:szCs w:val="22"/>
          <w:lang w:val="de-AT"/>
        </w:rPr>
        <w:t>konnte</w:t>
      </w:r>
      <w:r w:rsidR="00D2533C" w:rsidRPr="0082463E">
        <w:rPr>
          <w:sz w:val="22"/>
          <w:szCs w:val="22"/>
          <w:lang w:val="de-AT"/>
        </w:rPr>
        <w:t>n</w:t>
      </w:r>
      <w:r w:rsidR="009034B6" w:rsidRPr="0082463E">
        <w:rPr>
          <w:sz w:val="22"/>
          <w:szCs w:val="22"/>
          <w:lang w:val="de-AT"/>
        </w:rPr>
        <w:t xml:space="preserve"> die Kundenbasis erweitert und neue</w:t>
      </w:r>
      <w:r w:rsidR="00D974B4" w:rsidRPr="0082463E">
        <w:rPr>
          <w:sz w:val="22"/>
          <w:szCs w:val="22"/>
          <w:lang w:val="de-AT"/>
        </w:rPr>
        <w:t xml:space="preserve"> </w:t>
      </w:r>
      <w:r w:rsidR="009034B6" w:rsidRPr="0082463E">
        <w:rPr>
          <w:sz w:val="22"/>
          <w:szCs w:val="22"/>
          <w:lang w:val="de-AT"/>
        </w:rPr>
        <w:t>Anwendun</w:t>
      </w:r>
      <w:r w:rsidR="00D2533C" w:rsidRPr="0082463E">
        <w:rPr>
          <w:sz w:val="22"/>
          <w:szCs w:val="22"/>
          <w:lang w:val="de-AT"/>
        </w:rPr>
        <w:t>gsfelder im Bereich der Bau- un</w:t>
      </w:r>
      <w:r w:rsidR="009034B6" w:rsidRPr="0082463E">
        <w:rPr>
          <w:sz w:val="22"/>
          <w:szCs w:val="22"/>
          <w:lang w:val="de-AT"/>
        </w:rPr>
        <w:t>d</w:t>
      </w:r>
      <w:r w:rsidR="00D2533C" w:rsidRPr="0082463E">
        <w:rPr>
          <w:sz w:val="22"/>
          <w:szCs w:val="22"/>
          <w:lang w:val="de-AT"/>
        </w:rPr>
        <w:t xml:space="preserve"> </w:t>
      </w:r>
      <w:r w:rsidR="009034B6" w:rsidRPr="0082463E">
        <w:rPr>
          <w:sz w:val="22"/>
          <w:szCs w:val="22"/>
          <w:lang w:val="de-AT"/>
        </w:rPr>
        <w:t xml:space="preserve">Konstruktionsindustrie erschlossen werden. </w:t>
      </w:r>
      <w:r w:rsidR="00D2533C" w:rsidRPr="0082463E">
        <w:rPr>
          <w:sz w:val="22"/>
          <w:szCs w:val="22"/>
          <w:lang w:val="de-AT"/>
        </w:rPr>
        <w:t xml:space="preserve">Aktuelle Anwendungsbeispiele sind die Montage </w:t>
      </w:r>
      <w:r w:rsidR="00D5408C">
        <w:rPr>
          <w:sz w:val="22"/>
          <w:szCs w:val="22"/>
          <w:lang w:val="de-AT"/>
        </w:rPr>
        <w:t>von Dekor- und Glaselementen bei der Herstellung von</w:t>
      </w:r>
      <w:r w:rsidR="00D2533C" w:rsidRPr="0082463E">
        <w:rPr>
          <w:sz w:val="22"/>
          <w:szCs w:val="22"/>
          <w:lang w:val="de-AT"/>
        </w:rPr>
        <w:t xml:space="preserve"> Außentüren sowie von Spiegeln und Panee</w:t>
      </w:r>
      <w:r w:rsidR="00D5408C">
        <w:rPr>
          <w:sz w:val="22"/>
          <w:szCs w:val="22"/>
          <w:lang w:val="de-AT"/>
        </w:rPr>
        <w:t>len in der Möbelindustrie</w:t>
      </w:r>
      <w:r w:rsidR="00D2533C" w:rsidRPr="0082463E">
        <w:rPr>
          <w:sz w:val="22"/>
          <w:szCs w:val="22"/>
          <w:lang w:val="de-AT"/>
        </w:rPr>
        <w:t xml:space="preserve">. In den USA und </w:t>
      </w:r>
      <w:r w:rsidR="00610676" w:rsidRPr="0082463E">
        <w:rPr>
          <w:sz w:val="22"/>
          <w:szCs w:val="22"/>
          <w:lang w:val="de-AT"/>
        </w:rPr>
        <w:t xml:space="preserve">in </w:t>
      </w:r>
      <w:r w:rsidR="00D2533C" w:rsidRPr="0082463E">
        <w:rPr>
          <w:sz w:val="22"/>
          <w:szCs w:val="22"/>
          <w:lang w:val="de-AT"/>
        </w:rPr>
        <w:t>Südamerika starteten erste Projekte zur Verklebung von Fassadenelementen</w:t>
      </w:r>
      <w:r w:rsidR="00D5408C">
        <w:rPr>
          <w:sz w:val="22"/>
          <w:szCs w:val="22"/>
          <w:lang w:val="de-AT"/>
        </w:rPr>
        <w:t xml:space="preserve"> im Außenbereich</w:t>
      </w:r>
      <w:r w:rsidR="00D2533C" w:rsidRPr="0082463E">
        <w:rPr>
          <w:sz w:val="22"/>
          <w:szCs w:val="22"/>
          <w:lang w:val="de-AT"/>
        </w:rPr>
        <w:t>.</w:t>
      </w:r>
      <w:r w:rsidR="00D5408C">
        <w:rPr>
          <w:sz w:val="22"/>
          <w:szCs w:val="22"/>
          <w:lang w:val="de-AT"/>
        </w:rPr>
        <w:t xml:space="preserve"> Im Fokus dieser Einsatzfelder</w:t>
      </w:r>
      <w:r w:rsidR="00D2533C" w:rsidRPr="0082463E">
        <w:rPr>
          <w:sz w:val="22"/>
          <w:szCs w:val="22"/>
          <w:lang w:val="de-AT"/>
        </w:rPr>
        <w:t xml:space="preserve"> liegen hochfeste und sehr witterungsbeständige Klebebänder, die auf Basis der bei tesa entwickelten und patentierten ACX-Technologie hergestellt wurden.</w:t>
      </w:r>
      <w:r w:rsidR="004217F5" w:rsidRPr="0082463E">
        <w:rPr>
          <w:sz w:val="22"/>
          <w:szCs w:val="22"/>
          <w:lang w:val="de-AT"/>
        </w:rPr>
        <w:t xml:space="preserve"> </w:t>
      </w:r>
      <w:r w:rsidR="00BA7E18" w:rsidRPr="0082463E">
        <w:rPr>
          <w:sz w:val="22"/>
          <w:szCs w:val="22"/>
          <w:lang w:val="de-AT"/>
        </w:rPr>
        <w:t>Der</w:t>
      </w:r>
      <w:r w:rsidR="00B67C67" w:rsidRPr="0082463E">
        <w:rPr>
          <w:sz w:val="22"/>
          <w:szCs w:val="22"/>
          <w:lang w:val="de-AT"/>
        </w:rPr>
        <w:t xml:space="preserve"> noch junge</w:t>
      </w:r>
      <w:r w:rsidR="00BA7E18" w:rsidRPr="0082463E">
        <w:rPr>
          <w:sz w:val="22"/>
          <w:szCs w:val="22"/>
          <w:lang w:val="de-AT"/>
        </w:rPr>
        <w:t xml:space="preserve"> Geschäftsbereich Pharma erzielte</w:t>
      </w:r>
      <w:r w:rsidR="00D5408C">
        <w:rPr>
          <w:sz w:val="22"/>
          <w:szCs w:val="22"/>
          <w:lang w:val="de-AT"/>
        </w:rPr>
        <w:t xml:space="preserve"> im zweiten Halbjahr</w:t>
      </w:r>
      <w:r w:rsidR="00B67C67" w:rsidRPr="0082463E">
        <w:rPr>
          <w:sz w:val="22"/>
          <w:szCs w:val="22"/>
          <w:lang w:val="de-AT"/>
        </w:rPr>
        <w:t xml:space="preserve"> erste Umsätze </w:t>
      </w:r>
      <w:r w:rsidR="002202EE" w:rsidRPr="0082463E">
        <w:rPr>
          <w:sz w:val="22"/>
          <w:szCs w:val="22"/>
        </w:rPr>
        <w:t>mit arzneimittelhaltigen</w:t>
      </w:r>
      <w:r w:rsidR="00E6319B" w:rsidRPr="0082463E">
        <w:rPr>
          <w:sz w:val="22"/>
          <w:szCs w:val="22"/>
        </w:rPr>
        <w:t xml:space="preserve"> </w:t>
      </w:r>
      <w:r w:rsidR="002202EE" w:rsidRPr="0082463E">
        <w:rPr>
          <w:sz w:val="22"/>
          <w:szCs w:val="22"/>
        </w:rPr>
        <w:t>Pflas</w:t>
      </w:r>
      <w:r w:rsidR="00D974B4" w:rsidRPr="0082463E">
        <w:rPr>
          <w:sz w:val="22"/>
          <w:szCs w:val="22"/>
        </w:rPr>
        <w:t xml:space="preserve">tern </w:t>
      </w:r>
      <w:r w:rsidR="00B67C67" w:rsidRPr="0082463E">
        <w:rPr>
          <w:sz w:val="22"/>
          <w:szCs w:val="22"/>
        </w:rPr>
        <w:t xml:space="preserve">für die </w:t>
      </w:r>
      <w:r w:rsidR="002202EE" w:rsidRPr="0082463E">
        <w:rPr>
          <w:sz w:val="22"/>
          <w:szCs w:val="22"/>
          <w:lang w:val="de-AT"/>
        </w:rPr>
        <w:t>Pharmaindust</w:t>
      </w:r>
      <w:r w:rsidR="00BA7E18" w:rsidRPr="0082463E">
        <w:rPr>
          <w:sz w:val="22"/>
          <w:szCs w:val="22"/>
          <w:lang w:val="de-AT"/>
        </w:rPr>
        <w:t>rie</w:t>
      </w:r>
      <w:r w:rsidR="00B67C67" w:rsidRPr="0082463E">
        <w:rPr>
          <w:sz w:val="22"/>
          <w:szCs w:val="22"/>
          <w:lang w:val="de-AT"/>
        </w:rPr>
        <w:t xml:space="preserve">. </w:t>
      </w:r>
    </w:p>
    <w:p w:rsidR="003700ED" w:rsidRPr="0082463E" w:rsidRDefault="003700ED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</w:p>
    <w:p w:rsidR="00BD104F" w:rsidRPr="0082463E" w:rsidRDefault="003700ED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  <w:r w:rsidRPr="0082463E">
        <w:rPr>
          <w:sz w:val="22"/>
          <w:szCs w:val="22"/>
          <w:lang w:val="de-AT"/>
        </w:rPr>
        <w:t xml:space="preserve">tesa </w:t>
      </w:r>
      <w:r w:rsidR="00B67C67" w:rsidRPr="0082463E">
        <w:rPr>
          <w:sz w:val="22"/>
          <w:szCs w:val="22"/>
          <w:lang w:val="de-AT"/>
        </w:rPr>
        <w:t xml:space="preserve">setzte </w:t>
      </w:r>
      <w:r w:rsidR="00FE2D9D" w:rsidRPr="0082463E">
        <w:rPr>
          <w:sz w:val="22"/>
          <w:szCs w:val="22"/>
          <w:lang w:val="de-AT"/>
        </w:rPr>
        <w:t xml:space="preserve">auch 2013 </w:t>
      </w:r>
      <w:r w:rsidR="00B67C67" w:rsidRPr="0082463E">
        <w:rPr>
          <w:sz w:val="22"/>
          <w:szCs w:val="22"/>
          <w:lang w:val="de-AT"/>
        </w:rPr>
        <w:t xml:space="preserve">den Ausbau der Strukturen in Asien </w:t>
      </w:r>
      <w:r w:rsidR="00FD3064">
        <w:rPr>
          <w:sz w:val="22"/>
          <w:szCs w:val="22"/>
          <w:lang w:val="de-AT"/>
        </w:rPr>
        <w:t xml:space="preserve">und den USA </w:t>
      </w:r>
      <w:r w:rsidR="00B67C67" w:rsidRPr="0082463E">
        <w:rPr>
          <w:sz w:val="22"/>
          <w:szCs w:val="22"/>
          <w:lang w:val="de-AT"/>
        </w:rPr>
        <w:t xml:space="preserve">fort. Dazu gehört </w:t>
      </w:r>
      <w:r w:rsidRPr="0082463E">
        <w:rPr>
          <w:sz w:val="22"/>
          <w:szCs w:val="22"/>
          <w:lang w:val="de-AT"/>
        </w:rPr>
        <w:t>die Erweiterung der dem Werk im chinesischen Suzhou angegliederten Forschung und Entwick</w:t>
      </w:r>
      <w:r w:rsidR="00B67C67" w:rsidRPr="0082463E">
        <w:rPr>
          <w:sz w:val="22"/>
          <w:szCs w:val="22"/>
          <w:lang w:val="de-AT"/>
        </w:rPr>
        <w:t>lung. Darüber hinaus wurde die Produktionskapazität durch den Aufbau einer weitere</w:t>
      </w:r>
      <w:r w:rsidR="00FD3064">
        <w:rPr>
          <w:sz w:val="22"/>
          <w:szCs w:val="22"/>
          <w:lang w:val="de-AT"/>
        </w:rPr>
        <w:t xml:space="preserve">n Beschichtungsanlage erweitert. Im Werk in den USA wurde eine neue </w:t>
      </w:r>
      <w:r w:rsidR="00162C5A">
        <w:rPr>
          <w:sz w:val="22"/>
          <w:szCs w:val="22"/>
          <w:lang w:val="de-AT"/>
        </w:rPr>
        <w:lastRenderedPageBreak/>
        <w:t>Converting-A</w:t>
      </w:r>
      <w:r w:rsidR="00FD3064">
        <w:rPr>
          <w:sz w:val="22"/>
          <w:szCs w:val="22"/>
          <w:lang w:val="de-AT"/>
        </w:rPr>
        <w:t>nlage aufgebaut,</w:t>
      </w:r>
      <w:r w:rsidR="00B67C67" w:rsidRPr="0082463E">
        <w:rPr>
          <w:sz w:val="22"/>
          <w:szCs w:val="22"/>
          <w:lang w:val="de-AT"/>
        </w:rPr>
        <w:t xml:space="preserve"> um die lokale</w:t>
      </w:r>
      <w:r w:rsidR="00FD3064">
        <w:rPr>
          <w:sz w:val="22"/>
          <w:szCs w:val="22"/>
          <w:lang w:val="de-AT"/>
        </w:rPr>
        <w:t>n Kunden der Automobilindustrie</w:t>
      </w:r>
      <w:r w:rsidR="00B67C67" w:rsidRPr="0082463E">
        <w:rPr>
          <w:sz w:val="22"/>
          <w:szCs w:val="22"/>
          <w:lang w:val="de-AT"/>
        </w:rPr>
        <w:t xml:space="preserve"> n</w:t>
      </w:r>
      <w:r w:rsidR="00FD3064">
        <w:rPr>
          <w:sz w:val="22"/>
          <w:szCs w:val="22"/>
          <w:lang w:val="de-AT"/>
        </w:rPr>
        <w:t>och schneller mit maßgeschneiderten</w:t>
      </w:r>
      <w:r w:rsidR="00B67C67" w:rsidRPr="0082463E">
        <w:rPr>
          <w:sz w:val="22"/>
          <w:szCs w:val="22"/>
          <w:lang w:val="de-AT"/>
        </w:rPr>
        <w:t xml:space="preserve"> Lösungen beliefern zu können.</w:t>
      </w:r>
    </w:p>
    <w:p w:rsidR="00E958CF" w:rsidRPr="0082463E" w:rsidRDefault="00E958CF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</w:p>
    <w:p w:rsidR="002620C6" w:rsidRPr="0082463E" w:rsidRDefault="00BA7E18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  <w:r w:rsidRPr="0082463E">
        <w:rPr>
          <w:sz w:val="22"/>
          <w:szCs w:val="22"/>
          <w:lang w:val="de-AT"/>
        </w:rPr>
        <w:t>Im Dezember</w:t>
      </w:r>
      <w:r w:rsidR="005A0BE9" w:rsidRPr="0082463E">
        <w:rPr>
          <w:sz w:val="22"/>
          <w:szCs w:val="22"/>
          <w:lang w:val="de-AT"/>
        </w:rPr>
        <w:t xml:space="preserve"> </w:t>
      </w:r>
      <w:r w:rsidR="0095433A" w:rsidRPr="0082463E">
        <w:rPr>
          <w:sz w:val="22"/>
          <w:szCs w:val="22"/>
          <w:lang w:val="de-AT"/>
        </w:rPr>
        <w:t>feierten</w:t>
      </w:r>
      <w:r w:rsidR="00293F42" w:rsidRPr="0082463E">
        <w:rPr>
          <w:sz w:val="22"/>
          <w:szCs w:val="22"/>
          <w:lang w:val="de-AT"/>
        </w:rPr>
        <w:t xml:space="preserve"> </w:t>
      </w:r>
      <w:r w:rsidR="00162C5A">
        <w:rPr>
          <w:sz w:val="22"/>
          <w:szCs w:val="22"/>
          <w:lang w:val="de-AT"/>
        </w:rPr>
        <w:t xml:space="preserve">Handwerker, </w:t>
      </w:r>
      <w:r w:rsidR="007C722B" w:rsidRPr="0082463E">
        <w:rPr>
          <w:sz w:val="22"/>
          <w:szCs w:val="22"/>
          <w:lang w:val="de-AT"/>
        </w:rPr>
        <w:t xml:space="preserve">Planungsteams und </w:t>
      </w:r>
      <w:r w:rsidR="00293F42" w:rsidRPr="0082463E">
        <w:rPr>
          <w:sz w:val="22"/>
          <w:szCs w:val="22"/>
          <w:lang w:val="de-AT"/>
        </w:rPr>
        <w:t>M</w:t>
      </w:r>
      <w:r w:rsidR="007C722B" w:rsidRPr="0082463E">
        <w:rPr>
          <w:sz w:val="22"/>
          <w:szCs w:val="22"/>
          <w:lang w:val="de-AT"/>
        </w:rPr>
        <w:t>itarbeiter</w:t>
      </w:r>
      <w:r w:rsidR="0095433A" w:rsidRPr="0082463E">
        <w:rPr>
          <w:sz w:val="22"/>
          <w:szCs w:val="22"/>
          <w:lang w:val="de-AT"/>
        </w:rPr>
        <w:t xml:space="preserve"> das Richtfest des</w:t>
      </w:r>
      <w:r w:rsidR="00293F42" w:rsidRPr="0082463E">
        <w:rPr>
          <w:sz w:val="22"/>
          <w:szCs w:val="22"/>
          <w:lang w:val="de-AT"/>
        </w:rPr>
        <w:t xml:space="preserve"> </w:t>
      </w:r>
      <w:r w:rsidR="002620C6" w:rsidRPr="0082463E">
        <w:rPr>
          <w:sz w:val="22"/>
          <w:szCs w:val="22"/>
          <w:lang w:val="de-AT"/>
        </w:rPr>
        <w:t>Neubau</w:t>
      </w:r>
      <w:r w:rsidR="0095433A" w:rsidRPr="0082463E">
        <w:rPr>
          <w:sz w:val="22"/>
          <w:szCs w:val="22"/>
          <w:lang w:val="de-AT"/>
        </w:rPr>
        <w:t>s</w:t>
      </w:r>
      <w:r w:rsidR="00162C5A">
        <w:rPr>
          <w:sz w:val="22"/>
          <w:szCs w:val="22"/>
          <w:lang w:val="de-AT"/>
        </w:rPr>
        <w:t xml:space="preserve"> der tesa Zentrale mit </w:t>
      </w:r>
      <w:r w:rsidR="002620C6" w:rsidRPr="0082463E">
        <w:rPr>
          <w:sz w:val="22"/>
          <w:szCs w:val="22"/>
          <w:lang w:val="de-AT"/>
        </w:rPr>
        <w:t>integriertem Forschungs- und Technologie</w:t>
      </w:r>
      <w:r w:rsidR="00293F42" w:rsidRPr="0082463E">
        <w:rPr>
          <w:sz w:val="22"/>
          <w:szCs w:val="22"/>
          <w:lang w:val="de-AT"/>
        </w:rPr>
        <w:t>zentrum nahe dem</w:t>
      </w:r>
      <w:r w:rsidR="002620C6" w:rsidRPr="0082463E">
        <w:rPr>
          <w:sz w:val="22"/>
          <w:szCs w:val="22"/>
          <w:lang w:val="de-AT"/>
        </w:rPr>
        <w:t xml:space="preserve"> Hamburger Flugha</w:t>
      </w:r>
      <w:r w:rsidR="00293F42" w:rsidRPr="0082463E">
        <w:rPr>
          <w:sz w:val="22"/>
          <w:szCs w:val="22"/>
          <w:lang w:val="de-AT"/>
        </w:rPr>
        <w:t>fen</w:t>
      </w:r>
      <w:r w:rsidR="005A0BE9" w:rsidRPr="0082463E">
        <w:rPr>
          <w:sz w:val="22"/>
          <w:szCs w:val="22"/>
          <w:lang w:val="de-AT"/>
        </w:rPr>
        <w:t xml:space="preserve">. </w:t>
      </w:r>
      <w:r w:rsidR="005A0BE9" w:rsidRPr="0082463E">
        <w:rPr>
          <w:b/>
          <w:sz w:val="22"/>
          <w:szCs w:val="22"/>
          <w:lang w:val="de-AT"/>
        </w:rPr>
        <w:t>„</w:t>
      </w:r>
      <w:r w:rsidR="00293F42" w:rsidRPr="0082463E">
        <w:rPr>
          <w:b/>
          <w:sz w:val="22"/>
          <w:szCs w:val="22"/>
          <w:lang w:val="de-AT"/>
        </w:rPr>
        <w:t>Das bisher größte Investitionspro</w:t>
      </w:r>
      <w:r w:rsidR="00FD3064">
        <w:rPr>
          <w:b/>
          <w:sz w:val="22"/>
          <w:szCs w:val="22"/>
          <w:lang w:val="de-AT"/>
        </w:rPr>
        <w:t>jekt bei tesa befindet sich nach wie vor gut</w:t>
      </w:r>
      <w:r w:rsidR="00293F42" w:rsidRPr="0082463E">
        <w:rPr>
          <w:b/>
          <w:sz w:val="22"/>
          <w:szCs w:val="22"/>
          <w:lang w:val="de-AT"/>
        </w:rPr>
        <w:t xml:space="preserve"> im </w:t>
      </w:r>
      <w:r w:rsidR="00FD3064">
        <w:rPr>
          <w:b/>
          <w:sz w:val="22"/>
          <w:szCs w:val="22"/>
          <w:lang w:val="de-AT"/>
        </w:rPr>
        <w:t>Pl</w:t>
      </w:r>
      <w:r w:rsidR="00293F42" w:rsidRPr="0082463E">
        <w:rPr>
          <w:b/>
          <w:sz w:val="22"/>
          <w:szCs w:val="22"/>
          <w:lang w:val="de-AT"/>
        </w:rPr>
        <w:t xml:space="preserve">an. </w:t>
      </w:r>
      <w:r w:rsidR="00F10173" w:rsidRPr="0082463E">
        <w:rPr>
          <w:b/>
          <w:sz w:val="22"/>
          <w:szCs w:val="22"/>
          <w:lang w:val="de-AT"/>
        </w:rPr>
        <w:t xml:space="preserve">Der Neubau </w:t>
      </w:r>
      <w:r w:rsidR="003672C7" w:rsidRPr="0082463E">
        <w:rPr>
          <w:b/>
          <w:sz w:val="22"/>
          <w:szCs w:val="22"/>
          <w:lang w:val="de-AT"/>
        </w:rPr>
        <w:t>sichert un</w:t>
      </w:r>
      <w:r w:rsidR="00F10173" w:rsidRPr="0082463E">
        <w:rPr>
          <w:b/>
          <w:sz w:val="22"/>
          <w:szCs w:val="22"/>
          <w:lang w:val="de-AT"/>
        </w:rPr>
        <w:t xml:space="preserve">ser langfristiges Wachstum. Die Zusammenlegung der Bereiche </w:t>
      </w:r>
      <w:r w:rsidR="005A0BE9" w:rsidRPr="0082463E">
        <w:rPr>
          <w:b/>
          <w:sz w:val="22"/>
          <w:szCs w:val="22"/>
          <w:lang w:val="de-AT"/>
        </w:rPr>
        <w:t xml:space="preserve">erhöht die Effizienz und Flexibilität bei der Entwicklung neuer Produkte und trägt dazu bei, dass wir </w:t>
      </w:r>
      <w:r w:rsidR="002620C6" w:rsidRPr="0082463E">
        <w:rPr>
          <w:b/>
          <w:sz w:val="22"/>
          <w:szCs w:val="22"/>
          <w:lang w:val="de-AT"/>
        </w:rPr>
        <w:t>den laufend sich ändernden Anforderungen unserer Märk</w:t>
      </w:r>
      <w:r w:rsidR="005A0BE9" w:rsidRPr="0082463E">
        <w:rPr>
          <w:b/>
          <w:sz w:val="22"/>
          <w:szCs w:val="22"/>
          <w:lang w:val="de-AT"/>
        </w:rPr>
        <w:t>te noch besser</w:t>
      </w:r>
      <w:r w:rsidR="002620C6" w:rsidRPr="0082463E">
        <w:rPr>
          <w:b/>
          <w:sz w:val="22"/>
          <w:szCs w:val="22"/>
          <w:lang w:val="de-AT"/>
        </w:rPr>
        <w:t xml:space="preserve"> gerecht werden können</w:t>
      </w:r>
      <w:r w:rsidR="005A0BE9" w:rsidRPr="0082463E">
        <w:rPr>
          <w:b/>
          <w:sz w:val="22"/>
          <w:szCs w:val="22"/>
          <w:lang w:val="de-AT"/>
        </w:rPr>
        <w:t xml:space="preserve">“, </w:t>
      </w:r>
      <w:r w:rsidR="005A0BE9" w:rsidRPr="0082463E">
        <w:rPr>
          <w:sz w:val="22"/>
          <w:szCs w:val="22"/>
          <w:lang w:val="de-AT"/>
        </w:rPr>
        <w:t>so Schlegel.</w:t>
      </w:r>
      <w:r w:rsidR="005A0BE9" w:rsidRPr="0082463E">
        <w:rPr>
          <w:b/>
          <w:sz w:val="22"/>
          <w:szCs w:val="22"/>
          <w:lang w:val="de-AT"/>
        </w:rPr>
        <w:t xml:space="preserve"> </w:t>
      </w:r>
      <w:r w:rsidR="005A0BE9" w:rsidRPr="0082463E">
        <w:rPr>
          <w:sz w:val="22"/>
          <w:szCs w:val="22"/>
          <w:lang w:val="de-AT"/>
        </w:rPr>
        <w:t>Die neuen Gebäude sollen 2015 bezogen werden.</w:t>
      </w:r>
    </w:p>
    <w:p w:rsidR="00B12B04" w:rsidRPr="0082463E" w:rsidRDefault="00B12B04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</w:p>
    <w:p w:rsidR="00F97578" w:rsidRPr="0082463E" w:rsidRDefault="00F97578" w:rsidP="0032459A">
      <w:pPr>
        <w:autoSpaceDE w:val="0"/>
        <w:autoSpaceDN w:val="0"/>
        <w:adjustRightInd w:val="0"/>
        <w:ind w:left="-284" w:right="-1"/>
        <w:rPr>
          <w:sz w:val="22"/>
          <w:szCs w:val="22"/>
          <w:lang w:val="de-AT"/>
        </w:rPr>
      </w:pPr>
      <w:r w:rsidRPr="0082463E">
        <w:rPr>
          <w:b/>
          <w:sz w:val="22"/>
          <w:szCs w:val="22"/>
        </w:rPr>
        <w:t>Endverbrauc</w:t>
      </w:r>
      <w:r w:rsidR="002D61DA" w:rsidRPr="0082463E">
        <w:rPr>
          <w:b/>
          <w:sz w:val="22"/>
          <w:szCs w:val="22"/>
        </w:rPr>
        <w:t>hergeschäf</w:t>
      </w:r>
      <w:r w:rsidR="00AF4A0D" w:rsidRPr="0082463E">
        <w:rPr>
          <w:b/>
          <w:sz w:val="22"/>
          <w:szCs w:val="22"/>
        </w:rPr>
        <w:t xml:space="preserve">t: </w:t>
      </w:r>
      <w:r w:rsidR="00CB06B2" w:rsidRPr="0082463E">
        <w:rPr>
          <w:b/>
          <w:sz w:val="22"/>
          <w:szCs w:val="22"/>
        </w:rPr>
        <w:t>Markenkampagne setzt neue Akzente</w:t>
      </w:r>
    </w:p>
    <w:p w:rsidR="00F97578" w:rsidRPr="0082463E" w:rsidRDefault="00F97578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</w:p>
    <w:p w:rsidR="00D86D78" w:rsidRDefault="008607C6" w:rsidP="0032459A">
      <w:pPr>
        <w:autoSpaceDE w:val="0"/>
        <w:autoSpaceDN w:val="0"/>
        <w:adjustRightInd w:val="0"/>
        <w:ind w:left="-284" w:right="-1"/>
      </w:pPr>
      <w:r w:rsidRPr="0082463E">
        <w:rPr>
          <w:sz w:val="22"/>
          <w:szCs w:val="22"/>
          <w:lang w:val="de-AT"/>
        </w:rPr>
        <w:t xml:space="preserve">Das auf Europa und Lateinamerika konzentrierte Geschäft mit Produkten für Konsumenten entwickelte sich positiv. Der Umsatz wuchs </w:t>
      </w:r>
      <w:r w:rsidR="00FD3064">
        <w:rPr>
          <w:sz w:val="22"/>
          <w:szCs w:val="22"/>
          <w:lang w:val="de-AT"/>
        </w:rPr>
        <w:t xml:space="preserve">in einem schwierigen Marktumfeld </w:t>
      </w:r>
      <w:r w:rsidR="00162C5A">
        <w:rPr>
          <w:sz w:val="22"/>
          <w:szCs w:val="22"/>
          <w:lang w:val="de-AT"/>
        </w:rPr>
        <w:t xml:space="preserve">organisch um 1,0 %. </w:t>
      </w:r>
      <w:r w:rsidR="00385C51" w:rsidRPr="0082463E">
        <w:rPr>
          <w:sz w:val="22"/>
          <w:szCs w:val="22"/>
        </w:rPr>
        <w:t>M</w:t>
      </w:r>
      <w:proofErr w:type="spellStart"/>
      <w:r w:rsidR="00DD0407" w:rsidRPr="0082463E">
        <w:rPr>
          <w:sz w:val="22"/>
          <w:szCs w:val="22"/>
          <w:lang w:val="de-AT"/>
        </w:rPr>
        <w:t>it</w:t>
      </w:r>
      <w:proofErr w:type="spellEnd"/>
      <w:r w:rsidR="000A0304" w:rsidRPr="0082463E">
        <w:rPr>
          <w:sz w:val="22"/>
          <w:szCs w:val="22"/>
          <w:lang w:val="de-AT"/>
        </w:rPr>
        <w:t xml:space="preserve"> neue</w:t>
      </w:r>
      <w:r w:rsidR="00DD0407" w:rsidRPr="0082463E">
        <w:rPr>
          <w:sz w:val="22"/>
          <w:szCs w:val="22"/>
          <w:lang w:val="de-AT"/>
        </w:rPr>
        <w:t>n</w:t>
      </w:r>
      <w:r w:rsidR="00385C51" w:rsidRPr="0082463E">
        <w:rPr>
          <w:sz w:val="22"/>
          <w:szCs w:val="22"/>
          <w:lang w:val="de-AT"/>
        </w:rPr>
        <w:t xml:space="preserve">, auf die regionalen und lokalen Anforderungen ausgerichteten Vermarktungskonzepten stärkte tesa seine Position sowohl in West- als auch in Osteuropa. Das erfolgreiche </w:t>
      </w:r>
      <w:r w:rsidR="00CB06B2" w:rsidRPr="0082463E">
        <w:rPr>
          <w:sz w:val="22"/>
          <w:szCs w:val="22"/>
          <w:lang w:val="de-AT"/>
        </w:rPr>
        <w:t>Sortiment umweltfreundlicher Klebep</w:t>
      </w:r>
      <w:r w:rsidR="00385C51" w:rsidRPr="0082463E">
        <w:rPr>
          <w:sz w:val="22"/>
          <w:szCs w:val="22"/>
          <w:lang w:val="de-AT"/>
        </w:rPr>
        <w:t xml:space="preserve">rodukte wurde </w:t>
      </w:r>
      <w:r w:rsidR="00CB06B2" w:rsidRPr="0082463E">
        <w:rPr>
          <w:sz w:val="22"/>
          <w:szCs w:val="22"/>
          <w:lang w:val="de-AT"/>
        </w:rPr>
        <w:t xml:space="preserve">erweitert. </w:t>
      </w:r>
      <w:r w:rsidR="00DD10B1" w:rsidRPr="0082463E">
        <w:rPr>
          <w:sz w:val="22"/>
          <w:szCs w:val="22"/>
          <w:lang w:val="de-AT"/>
        </w:rPr>
        <w:t xml:space="preserve">Im Baumarktbereich entwickelte sich das Sortiment von Haken und Ablagesystemen auf Basis der neuen wasserfesten Powerstrips und der innovativen Power-Button-Technologie international positiv. </w:t>
      </w:r>
      <w:r w:rsidR="00CB06B2" w:rsidRPr="0082463E">
        <w:rPr>
          <w:sz w:val="22"/>
          <w:szCs w:val="22"/>
          <w:lang w:val="de-AT"/>
        </w:rPr>
        <w:t xml:space="preserve">In Deutschland gab der Start einer </w:t>
      </w:r>
      <w:r w:rsidR="00385C51" w:rsidRPr="0082463E">
        <w:rPr>
          <w:sz w:val="22"/>
          <w:szCs w:val="22"/>
          <w:lang w:val="de-AT"/>
        </w:rPr>
        <w:t>neue</w:t>
      </w:r>
      <w:r w:rsidR="00CB06B2" w:rsidRPr="0082463E">
        <w:rPr>
          <w:sz w:val="22"/>
          <w:szCs w:val="22"/>
          <w:lang w:val="de-AT"/>
        </w:rPr>
        <w:t>n</w:t>
      </w:r>
      <w:r w:rsidR="00385C51" w:rsidRPr="0082463E">
        <w:rPr>
          <w:sz w:val="22"/>
          <w:szCs w:val="22"/>
          <w:lang w:val="de-AT"/>
        </w:rPr>
        <w:t>, breit angelegte</w:t>
      </w:r>
      <w:r w:rsidR="00CB06B2" w:rsidRPr="0082463E">
        <w:rPr>
          <w:sz w:val="22"/>
          <w:szCs w:val="22"/>
          <w:lang w:val="de-AT"/>
        </w:rPr>
        <w:t>n</w:t>
      </w:r>
      <w:r w:rsidR="00DD10B1" w:rsidRPr="0082463E">
        <w:rPr>
          <w:sz w:val="22"/>
          <w:szCs w:val="22"/>
          <w:lang w:val="de-AT"/>
        </w:rPr>
        <w:t xml:space="preserve"> Kampagne, zu der</w:t>
      </w:r>
      <w:r w:rsidR="00385C51" w:rsidRPr="0082463E">
        <w:rPr>
          <w:sz w:val="22"/>
          <w:szCs w:val="22"/>
          <w:lang w:val="de-AT"/>
        </w:rPr>
        <w:t xml:space="preserve"> Werbespots </w:t>
      </w:r>
      <w:r w:rsidR="00DD10B1" w:rsidRPr="0082463E">
        <w:rPr>
          <w:sz w:val="22"/>
          <w:szCs w:val="22"/>
          <w:lang w:val="de-AT"/>
        </w:rPr>
        <w:t xml:space="preserve">und die systematische Nutzung digitaler Kanäle </w:t>
      </w:r>
      <w:r w:rsidR="00385C51" w:rsidRPr="0082463E">
        <w:rPr>
          <w:sz w:val="22"/>
          <w:szCs w:val="22"/>
          <w:lang w:val="de-AT"/>
        </w:rPr>
        <w:t xml:space="preserve">gehören, </w:t>
      </w:r>
      <w:r w:rsidR="007319E8" w:rsidRPr="0082463E">
        <w:rPr>
          <w:sz w:val="22"/>
          <w:szCs w:val="22"/>
          <w:lang w:val="de-AT"/>
        </w:rPr>
        <w:t xml:space="preserve">der Marke </w:t>
      </w:r>
      <w:r w:rsidR="00385C51" w:rsidRPr="0082463E">
        <w:rPr>
          <w:sz w:val="22"/>
          <w:szCs w:val="22"/>
          <w:lang w:val="de-AT"/>
        </w:rPr>
        <w:t>wichtige Impulse.</w:t>
      </w:r>
      <w:r w:rsidR="005978F6" w:rsidRPr="0082463E">
        <w:rPr>
          <w:sz w:val="22"/>
          <w:szCs w:val="22"/>
          <w:lang w:val="de-AT"/>
        </w:rPr>
        <w:t xml:space="preserve"> </w:t>
      </w:r>
    </w:p>
    <w:p w:rsidR="00D86D78" w:rsidRDefault="00D86D78" w:rsidP="0032459A">
      <w:pPr>
        <w:autoSpaceDE w:val="0"/>
        <w:autoSpaceDN w:val="0"/>
        <w:adjustRightInd w:val="0"/>
        <w:ind w:left="-284" w:right="-1"/>
      </w:pPr>
    </w:p>
    <w:p w:rsidR="002D61DA" w:rsidRPr="00D86D78" w:rsidRDefault="00D063B7" w:rsidP="0032459A">
      <w:pPr>
        <w:autoSpaceDE w:val="0"/>
        <w:autoSpaceDN w:val="0"/>
        <w:adjustRightInd w:val="0"/>
        <w:ind w:left="-284" w:right="-1"/>
      </w:pPr>
      <w:r w:rsidRPr="0082463E">
        <w:rPr>
          <w:b/>
          <w:sz w:val="22"/>
          <w:szCs w:val="22"/>
        </w:rPr>
        <w:t>Industrie</w:t>
      </w:r>
      <w:r w:rsidR="003E7FFD" w:rsidRPr="0082463E">
        <w:rPr>
          <w:b/>
          <w:sz w:val="22"/>
          <w:szCs w:val="22"/>
        </w:rPr>
        <w:t>geschäft</w:t>
      </w:r>
      <w:r w:rsidR="002D61DA" w:rsidRPr="0082463E">
        <w:rPr>
          <w:b/>
          <w:sz w:val="22"/>
          <w:szCs w:val="22"/>
        </w:rPr>
        <w:t>:</w:t>
      </w:r>
      <w:r w:rsidR="004E4814" w:rsidRPr="0082463E">
        <w:rPr>
          <w:b/>
          <w:sz w:val="22"/>
          <w:szCs w:val="22"/>
        </w:rPr>
        <w:t xml:space="preserve"> Neue Anwendungen für</w:t>
      </w:r>
      <w:r w:rsidR="005717F0" w:rsidRPr="0082463E">
        <w:rPr>
          <w:b/>
          <w:sz w:val="22"/>
          <w:szCs w:val="22"/>
        </w:rPr>
        <w:t xml:space="preserve"> Tablet</w:t>
      </w:r>
      <w:r w:rsidR="004E4814" w:rsidRPr="0082463E">
        <w:rPr>
          <w:b/>
          <w:sz w:val="22"/>
          <w:szCs w:val="22"/>
        </w:rPr>
        <w:t>s und Smartphones</w:t>
      </w:r>
    </w:p>
    <w:p w:rsidR="002D61DA" w:rsidRPr="0082463E" w:rsidRDefault="002D61DA" w:rsidP="0032459A">
      <w:pPr>
        <w:autoSpaceDE w:val="0"/>
        <w:autoSpaceDN w:val="0"/>
        <w:adjustRightInd w:val="0"/>
        <w:ind w:left="-284" w:right="-569"/>
        <w:rPr>
          <w:sz w:val="22"/>
          <w:szCs w:val="22"/>
        </w:rPr>
      </w:pPr>
    </w:p>
    <w:p w:rsidR="00D86D78" w:rsidRDefault="003B46B9" w:rsidP="0032459A">
      <w:pPr>
        <w:ind w:left="-284"/>
        <w:rPr>
          <w:sz w:val="22"/>
          <w:szCs w:val="22"/>
        </w:rPr>
      </w:pPr>
      <w:r w:rsidRPr="0082463E">
        <w:rPr>
          <w:sz w:val="22"/>
          <w:szCs w:val="22"/>
        </w:rPr>
        <w:t xml:space="preserve">Deutliches Wachstum zeigte erneut der </w:t>
      </w:r>
      <w:r w:rsidR="003E7FFD" w:rsidRPr="0082463E">
        <w:rPr>
          <w:sz w:val="22"/>
          <w:szCs w:val="22"/>
        </w:rPr>
        <w:t>Geschäf</w:t>
      </w:r>
      <w:r w:rsidRPr="0082463E">
        <w:rPr>
          <w:sz w:val="22"/>
          <w:szCs w:val="22"/>
        </w:rPr>
        <w:t>ts</w:t>
      </w:r>
      <w:r w:rsidR="002D61DA" w:rsidRPr="0082463E">
        <w:rPr>
          <w:sz w:val="22"/>
          <w:szCs w:val="22"/>
        </w:rPr>
        <w:t>bereich Industrie</w:t>
      </w:r>
      <w:r w:rsidR="00AF4A0D" w:rsidRPr="0082463E">
        <w:rPr>
          <w:sz w:val="22"/>
          <w:szCs w:val="22"/>
        </w:rPr>
        <w:t>. Der Um</w:t>
      </w:r>
      <w:r w:rsidRPr="0082463E">
        <w:rPr>
          <w:sz w:val="22"/>
          <w:szCs w:val="22"/>
        </w:rPr>
        <w:t>satz stieg</w:t>
      </w:r>
      <w:r w:rsidR="00AF4A0D" w:rsidRPr="0082463E">
        <w:rPr>
          <w:sz w:val="22"/>
          <w:szCs w:val="22"/>
        </w:rPr>
        <w:t xml:space="preserve"> </w:t>
      </w:r>
      <w:r w:rsidR="00976746" w:rsidRPr="0082463E">
        <w:rPr>
          <w:sz w:val="22"/>
          <w:szCs w:val="22"/>
        </w:rPr>
        <w:t xml:space="preserve">organisch </w:t>
      </w:r>
      <w:r w:rsidR="00AF4A0D" w:rsidRPr="0082463E">
        <w:rPr>
          <w:sz w:val="22"/>
          <w:szCs w:val="22"/>
        </w:rPr>
        <w:t>um</w:t>
      </w:r>
      <w:r w:rsidR="002D61DA" w:rsidRPr="0082463E">
        <w:rPr>
          <w:sz w:val="22"/>
          <w:szCs w:val="22"/>
        </w:rPr>
        <w:t xml:space="preserve"> </w:t>
      </w:r>
      <w:r w:rsidR="00976746" w:rsidRPr="0082463E">
        <w:rPr>
          <w:sz w:val="22"/>
          <w:szCs w:val="22"/>
          <w:lang w:val="de-AT"/>
        </w:rPr>
        <w:t>11,0</w:t>
      </w:r>
      <w:r w:rsidR="00CD11EF" w:rsidRPr="0082463E">
        <w:rPr>
          <w:sz w:val="22"/>
          <w:szCs w:val="22"/>
          <w:lang w:val="de-AT"/>
        </w:rPr>
        <w:t xml:space="preserve"> </w:t>
      </w:r>
      <w:r w:rsidR="00976746" w:rsidRPr="0082463E">
        <w:rPr>
          <w:sz w:val="22"/>
          <w:szCs w:val="22"/>
        </w:rPr>
        <w:t>%</w:t>
      </w:r>
      <w:r w:rsidR="002D61DA" w:rsidRPr="0082463E">
        <w:rPr>
          <w:sz w:val="22"/>
          <w:szCs w:val="22"/>
        </w:rPr>
        <w:t xml:space="preserve">. </w:t>
      </w:r>
      <w:r w:rsidR="00D53080" w:rsidRPr="0082463E">
        <w:rPr>
          <w:sz w:val="22"/>
          <w:szCs w:val="22"/>
        </w:rPr>
        <w:t>Sowohl das Direkt- als auch das Handelsg</w:t>
      </w:r>
      <w:r w:rsidR="003E7FFD" w:rsidRPr="0082463E">
        <w:rPr>
          <w:sz w:val="22"/>
          <w:szCs w:val="22"/>
        </w:rPr>
        <w:t>eschäft</w:t>
      </w:r>
      <w:r w:rsidR="00D53080" w:rsidRPr="0082463E">
        <w:rPr>
          <w:sz w:val="22"/>
          <w:szCs w:val="22"/>
        </w:rPr>
        <w:t xml:space="preserve"> </w:t>
      </w:r>
      <w:r w:rsidR="00B835E0" w:rsidRPr="0082463E">
        <w:rPr>
          <w:sz w:val="22"/>
          <w:szCs w:val="22"/>
        </w:rPr>
        <w:t xml:space="preserve">in </w:t>
      </w:r>
      <w:r w:rsidR="00D53080" w:rsidRPr="0082463E">
        <w:rPr>
          <w:sz w:val="22"/>
          <w:szCs w:val="22"/>
        </w:rPr>
        <w:t xml:space="preserve">allen Regionen leisteten dazu ihren Beitrag. </w:t>
      </w:r>
      <w:r w:rsidR="004E4814" w:rsidRPr="0082463E">
        <w:rPr>
          <w:sz w:val="22"/>
          <w:szCs w:val="22"/>
        </w:rPr>
        <w:t>Starke Wachstumsimpulse kamen dabei erneut aus Asien</w:t>
      </w:r>
      <w:r w:rsidRPr="0082463E">
        <w:rPr>
          <w:sz w:val="22"/>
          <w:szCs w:val="22"/>
        </w:rPr>
        <w:t xml:space="preserve"> </w:t>
      </w:r>
      <w:r w:rsidR="004E4814" w:rsidRPr="0082463E">
        <w:rPr>
          <w:sz w:val="22"/>
          <w:szCs w:val="22"/>
        </w:rPr>
        <w:t xml:space="preserve">und den USA, wo sich das Geschäft </w:t>
      </w:r>
      <w:r w:rsidR="003D2663" w:rsidRPr="0082463E">
        <w:rPr>
          <w:sz w:val="22"/>
          <w:szCs w:val="22"/>
        </w:rPr>
        <w:t>mit der Automobil</w:t>
      </w:r>
      <w:r w:rsidR="004E4814" w:rsidRPr="0082463E">
        <w:rPr>
          <w:sz w:val="22"/>
          <w:szCs w:val="22"/>
        </w:rPr>
        <w:t>- und der Elektronikindustrie weiterhin dynamisch entwickelte</w:t>
      </w:r>
      <w:r w:rsidR="003D2663" w:rsidRPr="0082463E">
        <w:rPr>
          <w:sz w:val="22"/>
          <w:szCs w:val="22"/>
        </w:rPr>
        <w:t>.</w:t>
      </w:r>
      <w:r w:rsidR="00AF1EF3" w:rsidRPr="0082463E">
        <w:rPr>
          <w:sz w:val="22"/>
          <w:szCs w:val="22"/>
        </w:rPr>
        <w:t xml:space="preserve"> </w:t>
      </w:r>
      <w:r w:rsidR="004E4814" w:rsidRPr="0082463E">
        <w:rPr>
          <w:sz w:val="22"/>
          <w:szCs w:val="22"/>
        </w:rPr>
        <w:t xml:space="preserve">Dazu trugen neue Anwendungen </w:t>
      </w:r>
      <w:r w:rsidR="00162C5A">
        <w:rPr>
          <w:sz w:val="22"/>
          <w:szCs w:val="22"/>
        </w:rPr>
        <w:t>für die Montage der Smart-T</w:t>
      </w:r>
      <w:r w:rsidR="000674A6" w:rsidRPr="0082463E">
        <w:rPr>
          <w:sz w:val="22"/>
          <w:szCs w:val="22"/>
        </w:rPr>
        <w:t xml:space="preserve">echnologie </w:t>
      </w:r>
      <w:r w:rsidR="004E4814" w:rsidRPr="0082463E">
        <w:rPr>
          <w:sz w:val="22"/>
          <w:szCs w:val="22"/>
        </w:rPr>
        <w:t xml:space="preserve">bei, beispielsweise optisch reine Klebebänder, mit denen die Schichten der Displays zusammengesetzt werden, oder elektrisch leitfähige Klebebänder, mit denen sich die in den Geräten auftretende elektrische Ladung ableiten lässt. </w:t>
      </w:r>
      <w:r w:rsidR="000674A6" w:rsidRPr="0082463E">
        <w:rPr>
          <w:sz w:val="22"/>
          <w:szCs w:val="22"/>
        </w:rPr>
        <w:t xml:space="preserve">Im Automobilbereich waren </w:t>
      </w:r>
      <w:r w:rsidR="00162C5A">
        <w:rPr>
          <w:sz w:val="22"/>
          <w:szCs w:val="22"/>
        </w:rPr>
        <w:t xml:space="preserve">unter </w:t>
      </w:r>
      <w:proofErr w:type="gramStart"/>
      <w:r w:rsidR="00162C5A">
        <w:rPr>
          <w:sz w:val="22"/>
          <w:szCs w:val="22"/>
        </w:rPr>
        <w:t xml:space="preserve">anderem </w:t>
      </w:r>
      <w:r w:rsidR="000674A6" w:rsidRPr="0082463E">
        <w:rPr>
          <w:sz w:val="22"/>
          <w:szCs w:val="22"/>
        </w:rPr>
        <w:t>neue</w:t>
      </w:r>
      <w:proofErr w:type="gramEnd"/>
      <w:r w:rsidR="000674A6" w:rsidRPr="0082463E">
        <w:rPr>
          <w:sz w:val="22"/>
          <w:szCs w:val="22"/>
        </w:rPr>
        <w:t xml:space="preserve"> Sicherheitsetiketten erfolgreich, mit denen sich einzelne Fahrzeige zuverlässig identifizieren lassen. Das System ist vor allem auf die hohen gesetzlichen Anforderungen in China zugeschnitten, wo es auf große Resonanz stieß.</w:t>
      </w:r>
      <w:r w:rsidR="00AE62D9" w:rsidRPr="0082463E">
        <w:rPr>
          <w:sz w:val="22"/>
          <w:szCs w:val="22"/>
        </w:rPr>
        <w:t xml:space="preserve"> </w:t>
      </w:r>
    </w:p>
    <w:p w:rsidR="00100D93" w:rsidRDefault="00100D93" w:rsidP="0032459A">
      <w:pPr>
        <w:ind w:left="-284"/>
        <w:rPr>
          <w:b/>
          <w:sz w:val="22"/>
          <w:szCs w:val="22"/>
        </w:rPr>
      </w:pPr>
    </w:p>
    <w:p w:rsidR="00331524" w:rsidRPr="0082463E" w:rsidRDefault="001246C5" w:rsidP="0032459A">
      <w:pPr>
        <w:ind w:left="-284"/>
        <w:rPr>
          <w:sz w:val="22"/>
          <w:szCs w:val="22"/>
        </w:rPr>
      </w:pPr>
      <w:r w:rsidRPr="0082463E">
        <w:rPr>
          <w:b/>
          <w:sz w:val="22"/>
          <w:szCs w:val="22"/>
        </w:rPr>
        <w:t>A</w:t>
      </w:r>
      <w:r w:rsidR="000312C0" w:rsidRPr="0082463E">
        <w:rPr>
          <w:b/>
          <w:sz w:val="22"/>
          <w:szCs w:val="22"/>
        </w:rPr>
        <w:t>sien: Umsatzanteil steigt auf 28,2</w:t>
      </w:r>
      <w:r w:rsidR="00331524" w:rsidRPr="0082463E">
        <w:rPr>
          <w:b/>
          <w:sz w:val="22"/>
          <w:szCs w:val="22"/>
        </w:rPr>
        <w:t xml:space="preserve"> %</w:t>
      </w:r>
    </w:p>
    <w:p w:rsidR="00100D93" w:rsidRDefault="00100D93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</w:p>
    <w:p w:rsidR="002D61DA" w:rsidRPr="0082463E" w:rsidRDefault="00015B9E" w:rsidP="0032459A">
      <w:pPr>
        <w:autoSpaceDE w:val="0"/>
        <w:autoSpaceDN w:val="0"/>
        <w:adjustRightInd w:val="0"/>
        <w:ind w:left="-284" w:right="-1"/>
        <w:rPr>
          <w:sz w:val="22"/>
          <w:szCs w:val="22"/>
        </w:rPr>
      </w:pPr>
      <w:r w:rsidRPr="0082463E">
        <w:rPr>
          <w:sz w:val="22"/>
          <w:szCs w:val="22"/>
        </w:rPr>
        <w:t xml:space="preserve">Erneut zeigte die </w:t>
      </w:r>
      <w:r w:rsidR="001246C5" w:rsidRPr="0082463E">
        <w:rPr>
          <w:sz w:val="22"/>
          <w:szCs w:val="22"/>
        </w:rPr>
        <w:t xml:space="preserve">Geschäftsregion Afrika/Asien/Australien </w:t>
      </w:r>
      <w:r w:rsidRPr="0082463E">
        <w:rPr>
          <w:sz w:val="22"/>
          <w:szCs w:val="22"/>
        </w:rPr>
        <w:t xml:space="preserve">das stärkste Wachstum. Der Umsatz </w:t>
      </w:r>
      <w:r w:rsidR="001246C5" w:rsidRPr="0082463E">
        <w:rPr>
          <w:sz w:val="22"/>
          <w:szCs w:val="22"/>
        </w:rPr>
        <w:t xml:space="preserve">stieg </w:t>
      </w:r>
      <w:r w:rsidR="000E1728" w:rsidRPr="0082463E">
        <w:rPr>
          <w:sz w:val="22"/>
          <w:szCs w:val="22"/>
        </w:rPr>
        <w:t>wechselkursbereinigt um 23,8</w:t>
      </w:r>
      <w:r w:rsidR="001246C5" w:rsidRPr="0082463E">
        <w:rPr>
          <w:sz w:val="22"/>
          <w:szCs w:val="22"/>
        </w:rPr>
        <w:t xml:space="preserve"> % auf </w:t>
      </w:r>
      <w:r w:rsidR="000E1728" w:rsidRPr="0082463E">
        <w:rPr>
          <w:sz w:val="22"/>
          <w:szCs w:val="22"/>
        </w:rPr>
        <w:t>293,1</w:t>
      </w:r>
      <w:r w:rsidR="001246C5" w:rsidRPr="0082463E">
        <w:rPr>
          <w:sz w:val="22"/>
          <w:szCs w:val="22"/>
        </w:rPr>
        <w:t xml:space="preserve"> Mio. €. </w:t>
      </w:r>
      <w:r w:rsidR="007E468D" w:rsidRPr="0082463E">
        <w:rPr>
          <w:sz w:val="22"/>
          <w:szCs w:val="22"/>
        </w:rPr>
        <w:t>Damit erreichte d</w:t>
      </w:r>
      <w:r w:rsidR="00123568" w:rsidRPr="0082463E">
        <w:rPr>
          <w:sz w:val="22"/>
          <w:szCs w:val="22"/>
        </w:rPr>
        <w:t>er Anteil dieser</w:t>
      </w:r>
      <w:r w:rsidR="001246C5" w:rsidRPr="0082463E">
        <w:rPr>
          <w:sz w:val="22"/>
          <w:szCs w:val="22"/>
        </w:rPr>
        <w:t xml:space="preserve"> Region am Gesamt</w:t>
      </w:r>
      <w:r w:rsidR="007E468D" w:rsidRPr="0082463E">
        <w:rPr>
          <w:sz w:val="22"/>
          <w:szCs w:val="22"/>
        </w:rPr>
        <w:t>umsatz</w:t>
      </w:r>
      <w:r w:rsidR="000E1728" w:rsidRPr="0082463E">
        <w:rPr>
          <w:sz w:val="22"/>
          <w:szCs w:val="22"/>
        </w:rPr>
        <w:t xml:space="preserve"> 28,2</w:t>
      </w:r>
      <w:r w:rsidR="005067EA" w:rsidRPr="0082463E">
        <w:rPr>
          <w:sz w:val="22"/>
          <w:szCs w:val="22"/>
        </w:rPr>
        <w:t xml:space="preserve"> % (Vorjahr 24</w:t>
      </w:r>
      <w:r w:rsidR="001246C5" w:rsidRPr="0082463E">
        <w:rPr>
          <w:sz w:val="22"/>
          <w:szCs w:val="22"/>
        </w:rPr>
        <w:t>,</w:t>
      </w:r>
      <w:r w:rsidR="005067EA" w:rsidRPr="0082463E">
        <w:rPr>
          <w:sz w:val="22"/>
          <w:szCs w:val="22"/>
        </w:rPr>
        <w:t>5</w:t>
      </w:r>
      <w:r w:rsidR="001246C5" w:rsidRPr="0082463E">
        <w:rPr>
          <w:sz w:val="22"/>
          <w:szCs w:val="22"/>
        </w:rPr>
        <w:t xml:space="preserve"> %)</w:t>
      </w:r>
      <w:r w:rsidRPr="0082463E">
        <w:rPr>
          <w:sz w:val="22"/>
          <w:szCs w:val="22"/>
        </w:rPr>
        <w:t xml:space="preserve">. Dabei waren China und </w:t>
      </w:r>
      <w:r w:rsidR="001333B9" w:rsidRPr="0082463E">
        <w:rPr>
          <w:sz w:val="22"/>
          <w:szCs w:val="22"/>
        </w:rPr>
        <w:t>Südk</w:t>
      </w:r>
      <w:r w:rsidRPr="0082463E">
        <w:rPr>
          <w:sz w:val="22"/>
          <w:szCs w:val="22"/>
        </w:rPr>
        <w:t xml:space="preserve">orea </w:t>
      </w:r>
      <w:r w:rsidR="00DE0835" w:rsidRPr="0082463E">
        <w:rPr>
          <w:sz w:val="22"/>
          <w:szCs w:val="22"/>
        </w:rPr>
        <w:t xml:space="preserve">wiederum </w:t>
      </w:r>
      <w:r w:rsidRPr="0082463E">
        <w:rPr>
          <w:sz w:val="22"/>
          <w:szCs w:val="22"/>
        </w:rPr>
        <w:t>die Hauptwachstumsmärkte.</w:t>
      </w:r>
    </w:p>
    <w:p w:rsidR="00EB64EC" w:rsidRDefault="00EB64EC" w:rsidP="0032459A">
      <w:pPr>
        <w:autoSpaceDE w:val="0"/>
        <w:autoSpaceDN w:val="0"/>
        <w:adjustRightInd w:val="0"/>
        <w:ind w:left="-284" w:right="-569"/>
        <w:rPr>
          <w:sz w:val="22"/>
          <w:szCs w:val="22"/>
        </w:rPr>
      </w:pPr>
    </w:p>
    <w:p w:rsidR="00162C5A" w:rsidRPr="0082463E" w:rsidRDefault="00162C5A" w:rsidP="0032459A">
      <w:pPr>
        <w:autoSpaceDE w:val="0"/>
        <w:autoSpaceDN w:val="0"/>
        <w:adjustRightInd w:val="0"/>
        <w:ind w:left="-284" w:right="-569"/>
        <w:rPr>
          <w:sz w:val="22"/>
          <w:szCs w:val="22"/>
        </w:rPr>
      </w:pPr>
    </w:p>
    <w:p w:rsidR="0032459A" w:rsidRDefault="00114AB2" w:rsidP="0032459A">
      <w:pPr>
        <w:autoSpaceDE w:val="0"/>
        <w:autoSpaceDN w:val="0"/>
        <w:adjustRightInd w:val="0"/>
        <w:ind w:left="-284" w:right="-569"/>
        <w:rPr>
          <w:b/>
          <w:sz w:val="22"/>
          <w:szCs w:val="22"/>
        </w:rPr>
      </w:pPr>
      <w:r w:rsidRPr="0082463E">
        <w:rPr>
          <w:b/>
          <w:sz w:val="22"/>
          <w:szCs w:val="22"/>
        </w:rPr>
        <w:lastRenderedPageBreak/>
        <w:t>Ausblick 2014</w:t>
      </w:r>
    </w:p>
    <w:p w:rsidR="00490F0D" w:rsidRPr="00162C5A" w:rsidRDefault="00FE5923" w:rsidP="00162C5A">
      <w:pPr>
        <w:autoSpaceDE w:val="0"/>
        <w:autoSpaceDN w:val="0"/>
        <w:adjustRightInd w:val="0"/>
        <w:ind w:left="-284" w:right="-569"/>
        <w:rPr>
          <w:b/>
          <w:sz w:val="22"/>
          <w:szCs w:val="22"/>
        </w:rPr>
      </w:pPr>
      <w:r>
        <w:rPr>
          <w:sz w:val="22"/>
          <w:szCs w:val="22"/>
        </w:rPr>
        <w:t>Das laufende Geschäftsjahr wird von in den Regionen und Märkten stark unterschiedlichen Entwicklungen geprägt sein.</w:t>
      </w:r>
      <w:r w:rsidR="00162C5A">
        <w:rPr>
          <w:sz w:val="22"/>
          <w:szCs w:val="22"/>
        </w:rPr>
        <w:t xml:space="preserve"> </w:t>
      </w:r>
      <w:r w:rsidR="00490F0D" w:rsidRPr="0082463E">
        <w:rPr>
          <w:sz w:val="22"/>
          <w:szCs w:val="22"/>
        </w:rPr>
        <w:t xml:space="preserve">Im </w:t>
      </w:r>
      <w:r w:rsidR="00AE2F2D" w:rsidRPr="0082463E">
        <w:rPr>
          <w:sz w:val="22"/>
          <w:szCs w:val="22"/>
        </w:rPr>
        <w:t>Geschäft mit</w:t>
      </w:r>
      <w:r w:rsidR="00490F0D" w:rsidRPr="0082463E">
        <w:rPr>
          <w:sz w:val="22"/>
          <w:szCs w:val="22"/>
        </w:rPr>
        <w:t xml:space="preserve"> der auf Asien konzentrierten Elektronikindustrie ist infolge der</w:t>
      </w:r>
      <w:r w:rsidR="00114AB2" w:rsidRPr="0082463E">
        <w:rPr>
          <w:sz w:val="22"/>
          <w:szCs w:val="22"/>
        </w:rPr>
        <w:t xml:space="preserve"> ungebrochenen Dynamik</w:t>
      </w:r>
      <w:r w:rsidR="00490F0D" w:rsidRPr="0082463E">
        <w:rPr>
          <w:sz w:val="22"/>
          <w:szCs w:val="22"/>
        </w:rPr>
        <w:t xml:space="preserve"> weiterhin mit zweistelligen Wachstumsraten zu rechnen. Aufgrund des Proj</w:t>
      </w:r>
      <w:r w:rsidR="00162C5A">
        <w:rPr>
          <w:sz w:val="22"/>
          <w:szCs w:val="22"/>
        </w:rPr>
        <w:t xml:space="preserve">ektcharakters dieses Geschäfts </w:t>
      </w:r>
      <w:r w:rsidR="00490F0D" w:rsidRPr="0082463E">
        <w:rPr>
          <w:sz w:val="22"/>
          <w:szCs w:val="22"/>
        </w:rPr>
        <w:t>ste</w:t>
      </w:r>
      <w:r w:rsidR="00162C5A">
        <w:rPr>
          <w:sz w:val="22"/>
          <w:szCs w:val="22"/>
        </w:rPr>
        <w:t xml:space="preserve">igt jedoch zugleich das Risiko. </w:t>
      </w:r>
      <w:r w:rsidR="00490F0D" w:rsidRPr="0082463E">
        <w:rPr>
          <w:sz w:val="22"/>
          <w:szCs w:val="22"/>
        </w:rPr>
        <w:t>Nordamerika wird nach aktueller Einschätzung erneut positive Impulse aus der Automobilindustrie aufnehmen können.</w:t>
      </w:r>
      <w:r w:rsidR="00D85514" w:rsidRPr="0082463E">
        <w:rPr>
          <w:sz w:val="22"/>
          <w:szCs w:val="22"/>
        </w:rPr>
        <w:t xml:space="preserve"> Aus globaler Sicht wird sich der Bereich Automotive als zweites Wachstumsfeld behaupten können.</w:t>
      </w:r>
      <w:r w:rsidR="004855CF" w:rsidRPr="0082463E">
        <w:rPr>
          <w:sz w:val="22"/>
          <w:szCs w:val="22"/>
        </w:rPr>
        <w:t xml:space="preserve"> Auch das noch junge Geschäftsfeld </w:t>
      </w:r>
      <w:proofErr w:type="spellStart"/>
      <w:r w:rsidR="004855CF" w:rsidRPr="0082463E">
        <w:rPr>
          <w:sz w:val="22"/>
          <w:szCs w:val="22"/>
        </w:rPr>
        <w:t>Pharma</w:t>
      </w:r>
      <w:proofErr w:type="spellEnd"/>
      <w:r w:rsidR="004855CF" w:rsidRPr="0082463E">
        <w:rPr>
          <w:sz w:val="22"/>
          <w:szCs w:val="22"/>
        </w:rPr>
        <w:t xml:space="preserve"> wird sich weiterhin positiv entwickeln. Im Bereich Building Supply, dem Geschäft mit der Bau- und Konstruktionsindustrie</w:t>
      </w:r>
      <w:r w:rsidR="00AE2F2D" w:rsidRPr="0082463E">
        <w:rPr>
          <w:sz w:val="22"/>
          <w:szCs w:val="22"/>
        </w:rPr>
        <w:t>, wird die Kundenbasis kontinuierlich erweitert</w:t>
      </w:r>
      <w:r w:rsidR="004855CF" w:rsidRPr="0082463E">
        <w:rPr>
          <w:sz w:val="22"/>
          <w:szCs w:val="22"/>
        </w:rPr>
        <w:t>.</w:t>
      </w:r>
    </w:p>
    <w:p w:rsidR="005E27B5" w:rsidRDefault="005E27B5" w:rsidP="0032459A">
      <w:pPr>
        <w:spacing w:after="113"/>
        <w:ind w:left="-284"/>
        <w:rPr>
          <w:sz w:val="22"/>
          <w:szCs w:val="22"/>
        </w:rPr>
      </w:pPr>
    </w:p>
    <w:p w:rsidR="00114AB2" w:rsidRPr="0082463E" w:rsidRDefault="00490F0D" w:rsidP="0032459A">
      <w:pPr>
        <w:spacing w:after="113"/>
        <w:ind w:left="-284"/>
        <w:rPr>
          <w:sz w:val="22"/>
          <w:szCs w:val="22"/>
        </w:rPr>
      </w:pPr>
      <w:r w:rsidRPr="0082463E">
        <w:rPr>
          <w:sz w:val="22"/>
          <w:szCs w:val="22"/>
        </w:rPr>
        <w:t>Dieser Dynamik steht eine hohe S</w:t>
      </w:r>
      <w:r w:rsidR="00114AB2" w:rsidRPr="0082463E">
        <w:rPr>
          <w:sz w:val="22"/>
          <w:szCs w:val="22"/>
        </w:rPr>
        <w:t xml:space="preserve">tabilität der europäischen Märkte gegenüber. </w:t>
      </w:r>
      <w:r w:rsidRPr="0082463E">
        <w:rPr>
          <w:sz w:val="22"/>
          <w:szCs w:val="22"/>
        </w:rPr>
        <w:t>D</w:t>
      </w:r>
      <w:r w:rsidR="00D85514" w:rsidRPr="0082463E">
        <w:rPr>
          <w:sz w:val="22"/>
          <w:szCs w:val="22"/>
        </w:rPr>
        <w:t xml:space="preserve">ie </w:t>
      </w:r>
      <w:r w:rsidRPr="0082463E">
        <w:rPr>
          <w:sz w:val="22"/>
          <w:szCs w:val="22"/>
        </w:rPr>
        <w:t xml:space="preserve">in Südeuropa </w:t>
      </w:r>
      <w:r w:rsidR="00D85514" w:rsidRPr="0082463E">
        <w:rPr>
          <w:sz w:val="22"/>
          <w:szCs w:val="22"/>
        </w:rPr>
        <w:t xml:space="preserve">sich </w:t>
      </w:r>
      <w:r w:rsidRPr="0082463E">
        <w:rPr>
          <w:sz w:val="22"/>
          <w:szCs w:val="22"/>
        </w:rPr>
        <w:t>abzeichnende wirtschaftliche Erholung wird positi</w:t>
      </w:r>
      <w:r w:rsidR="004855CF" w:rsidRPr="0082463E">
        <w:rPr>
          <w:sz w:val="22"/>
          <w:szCs w:val="22"/>
        </w:rPr>
        <w:t>ve Einflüsse</w:t>
      </w:r>
      <w:r w:rsidRPr="0082463E">
        <w:rPr>
          <w:sz w:val="22"/>
          <w:szCs w:val="22"/>
        </w:rPr>
        <w:t xml:space="preserve"> </w:t>
      </w:r>
      <w:r w:rsidR="00D85514" w:rsidRPr="0082463E">
        <w:rPr>
          <w:sz w:val="22"/>
          <w:szCs w:val="22"/>
        </w:rPr>
        <w:t xml:space="preserve">auf die Entwicklung im Geschäft mit privaten Konsumenten und im Distributionsgeschäft haben. </w:t>
      </w:r>
      <w:r w:rsidR="004855CF" w:rsidRPr="0082463E">
        <w:rPr>
          <w:sz w:val="22"/>
          <w:szCs w:val="22"/>
        </w:rPr>
        <w:t>Zudem sind positive Im</w:t>
      </w:r>
      <w:r w:rsidR="00AE2F2D" w:rsidRPr="0082463E">
        <w:rPr>
          <w:sz w:val="22"/>
          <w:szCs w:val="22"/>
        </w:rPr>
        <w:t>pulse aus</w:t>
      </w:r>
      <w:r w:rsidR="004855CF" w:rsidRPr="0082463E">
        <w:rPr>
          <w:sz w:val="22"/>
          <w:szCs w:val="22"/>
        </w:rPr>
        <w:t xml:space="preserve"> </w:t>
      </w:r>
      <w:r w:rsidR="00AE2F2D" w:rsidRPr="0082463E">
        <w:rPr>
          <w:sz w:val="22"/>
          <w:szCs w:val="22"/>
        </w:rPr>
        <w:t xml:space="preserve">den genannten </w:t>
      </w:r>
      <w:r w:rsidR="005E27B5">
        <w:rPr>
          <w:sz w:val="22"/>
          <w:szCs w:val="22"/>
        </w:rPr>
        <w:t xml:space="preserve">Innovationen und </w:t>
      </w:r>
      <w:r w:rsidR="00742F2B" w:rsidRPr="0082463E">
        <w:rPr>
          <w:sz w:val="22"/>
          <w:szCs w:val="22"/>
        </w:rPr>
        <w:t>Vermarktungsaktivitäten</w:t>
      </w:r>
      <w:r w:rsidR="004855CF" w:rsidRPr="0082463E">
        <w:rPr>
          <w:sz w:val="22"/>
          <w:szCs w:val="22"/>
        </w:rPr>
        <w:t xml:space="preserve"> zu erwarten, sodass von einer positiven Gesamtentwicklung auszugehen ist.</w:t>
      </w:r>
      <w:r w:rsidR="00742F2B" w:rsidRPr="0082463E">
        <w:rPr>
          <w:sz w:val="22"/>
          <w:szCs w:val="22"/>
        </w:rPr>
        <w:t xml:space="preserve"> Fortgesetzte Investitionen in  Forschung und Entwicklung und damit in innovative Produkte stärken die Marktposition von tesa nachhaltig. Für das laufende Geschäftsjahr </w:t>
      </w:r>
      <w:r w:rsidR="00AE2F2D" w:rsidRPr="0082463E">
        <w:rPr>
          <w:sz w:val="22"/>
          <w:szCs w:val="22"/>
        </w:rPr>
        <w:t xml:space="preserve">erwartet </w:t>
      </w:r>
      <w:r w:rsidR="00742F2B" w:rsidRPr="0082463E">
        <w:rPr>
          <w:sz w:val="22"/>
          <w:szCs w:val="22"/>
        </w:rPr>
        <w:t xml:space="preserve">tesa demzufolge ein in beiden Kundenbereichen leicht über der Marktentwicklung liegendes Wachstum. Die Ergebnisentwicklung wird hingegen nicht an die außergewöhnlichen Ergebnisse von 2013 anknüpfen können. Die operative EBIT-Umsatzrendite wird deshalb unter dem Vorjahreswert liegen. </w:t>
      </w:r>
    </w:p>
    <w:p w:rsidR="00742F2B" w:rsidRPr="0082463E" w:rsidRDefault="00742F2B" w:rsidP="0032459A">
      <w:pPr>
        <w:autoSpaceDE w:val="0"/>
        <w:autoSpaceDN w:val="0"/>
        <w:adjustRightInd w:val="0"/>
        <w:ind w:left="-284" w:right="-569"/>
        <w:rPr>
          <w:b/>
          <w:sz w:val="22"/>
          <w:szCs w:val="22"/>
        </w:rPr>
      </w:pPr>
    </w:p>
    <w:p w:rsidR="00F6010E" w:rsidRPr="0082463E" w:rsidRDefault="00F6010E" w:rsidP="0032459A">
      <w:pPr>
        <w:autoSpaceDE w:val="0"/>
        <w:autoSpaceDN w:val="0"/>
        <w:adjustRightInd w:val="0"/>
        <w:ind w:left="-284" w:right="-569"/>
        <w:rPr>
          <w:b/>
          <w:sz w:val="22"/>
          <w:szCs w:val="22"/>
        </w:rPr>
      </w:pPr>
      <w:r w:rsidRPr="0082463E">
        <w:rPr>
          <w:b/>
          <w:sz w:val="22"/>
          <w:szCs w:val="22"/>
        </w:rPr>
        <w:t>Geschäftsen</w:t>
      </w:r>
      <w:r w:rsidR="001D05A4" w:rsidRPr="0082463E">
        <w:rPr>
          <w:b/>
          <w:sz w:val="22"/>
          <w:szCs w:val="22"/>
        </w:rPr>
        <w:t>twicklun</w:t>
      </w:r>
      <w:r w:rsidR="00CB06B2" w:rsidRPr="0082463E">
        <w:rPr>
          <w:b/>
          <w:sz w:val="22"/>
          <w:szCs w:val="22"/>
        </w:rPr>
        <w:t>g 2013</w:t>
      </w:r>
      <w:r w:rsidRPr="0082463E">
        <w:rPr>
          <w:b/>
          <w:sz w:val="22"/>
          <w:szCs w:val="22"/>
        </w:rPr>
        <w:t xml:space="preserve"> online</w:t>
      </w:r>
    </w:p>
    <w:p w:rsidR="00F6010E" w:rsidRPr="0082463E" w:rsidRDefault="00F6010E" w:rsidP="0032459A">
      <w:pPr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D6035F" w:rsidRPr="0082463E" w:rsidRDefault="00C7440E" w:rsidP="0032459A">
      <w:pPr>
        <w:autoSpaceDE w:val="0"/>
        <w:autoSpaceDN w:val="0"/>
        <w:adjustRightInd w:val="0"/>
        <w:ind w:left="-284"/>
        <w:rPr>
          <w:sz w:val="22"/>
          <w:szCs w:val="22"/>
        </w:rPr>
      </w:pPr>
      <w:r w:rsidRPr="0082463E">
        <w:rPr>
          <w:sz w:val="22"/>
          <w:szCs w:val="22"/>
        </w:rPr>
        <w:t>Die aktuellen Geschäftsz</w:t>
      </w:r>
      <w:r w:rsidR="00F6010E" w:rsidRPr="0082463E">
        <w:rPr>
          <w:sz w:val="22"/>
          <w:szCs w:val="22"/>
        </w:rPr>
        <w:t>ahlen und weitere</w:t>
      </w:r>
      <w:r w:rsidRPr="0082463E">
        <w:rPr>
          <w:sz w:val="22"/>
          <w:szCs w:val="22"/>
        </w:rPr>
        <w:t xml:space="preserve"> Informationen finden Sie in der</w:t>
      </w:r>
      <w:r w:rsidR="00F6010E" w:rsidRPr="0082463E">
        <w:rPr>
          <w:sz w:val="22"/>
          <w:szCs w:val="22"/>
        </w:rPr>
        <w:t xml:space="preserve"> Geschäftsent</w:t>
      </w:r>
      <w:r w:rsidR="00CB06B2" w:rsidRPr="0082463E">
        <w:rPr>
          <w:sz w:val="22"/>
          <w:szCs w:val="22"/>
        </w:rPr>
        <w:t>wicklung 2013</w:t>
      </w:r>
      <w:r w:rsidRPr="0082463E">
        <w:rPr>
          <w:sz w:val="22"/>
          <w:szCs w:val="22"/>
        </w:rPr>
        <w:t>, die dieser Pressemappe beiliegt</w:t>
      </w:r>
      <w:r w:rsidR="003F3F64" w:rsidRPr="0082463E">
        <w:rPr>
          <w:sz w:val="22"/>
          <w:szCs w:val="22"/>
        </w:rPr>
        <w:t>,</w:t>
      </w:r>
      <w:r w:rsidRPr="0082463E">
        <w:rPr>
          <w:sz w:val="22"/>
          <w:szCs w:val="22"/>
        </w:rPr>
        <w:t xml:space="preserve"> oder </w:t>
      </w:r>
      <w:r w:rsidR="00F747B4" w:rsidRPr="0082463E">
        <w:rPr>
          <w:sz w:val="22"/>
          <w:szCs w:val="22"/>
        </w:rPr>
        <w:t xml:space="preserve">online </w:t>
      </w:r>
      <w:r w:rsidR="00F6010E" w:rsidRPr="0082463E">
        <w:rPr>
          <w:sz w:val="22"/>
          <w:szCs w:val="22"/>
        </w:rPr>
        <w:t xml:space="preserve">unter </w:t>
      </w:r>
      <w:hyperlink r:id="rId8" w:history="1">
        <w:r w:rsidR="00D913D3" w:rsidRPr="0082463E">
          <w:rPr>
            <w:rStyle w:val="Hyperlink"/>
            <w:rFonts w:cs="Arial"/>
            <w:color w:val="auto"/>
            <w:sz w:val="22"/>
            <w:szCs w:val="22"/>
          </w:rPr>
          <w:t>www.tesa.de/company/investors</w:t>
        </w:r>
      </w:hyperlink>
      <w:r w:rsidR="00A107D0" w:rsidRPr="0082463E">
        <w:rPr>
          <w:sz w:val="22"/>
          <w:szCs w:val="22"/>
        </w:rPr>
        <w:t>.</w:t>
      </w:r>
    </w:p>
    <w:p w:rsidR="00D6035F" w:rsidRPr="0082463E" w:rsidRDefault="00D6035F" w:rsidP="0032459A">
      <w:pPr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5E27B5" w:rsidRDefault="00883220" w:rsidP="005E27B5">
      <w:pPr>
        <w:autoSpaceDE w:val="0"/>
        <w:autoSpaceDN w:val="0"/>
        <w:adjustRightInd w:val="0"/>
        <w:ind w:left="-284"/>
      </w:pPr>
      <w:r w:rsidRPr="0082463E">
        <w:rPr>
          <w:sz w:val="22"/>
          <w:szCs w:val="22"/>
        </w:rPr>
        <w:t>Diese Presseinformation sowie Bildmaterial</w:t>
      </w:r>
      <w:r w:rsidR="00F747B4" w:rsidRPr="0082463E">
        <w:rPr>
          <w:sz w:val="22"/>
          <w:szCs w:val="22"/>
        </w:rPr>
        <w:t xml:space="preserve"> finden Sie online</w:t>
      </w:r>
      <w:r w:rsidRPr="0082463E">
        <w:rPr>
          <w:sz w:val="22"/>
          <w:szCs w:val="22"/>
        </w:rPr>
        <w:t xml:space="preserve"> unter </w:t>
      </w:r>
      <w:hyperlink r:id="rId9" w:history="1">
        <w:r w:rsidRPr="0082463E">
          <w:rPr>
            <w:rStyle w:val="Hyperlink"/>
            <w:rFonts w:cs="Arial"/>
            <w:color w:val="auto"/>
            <w:sz w:val="22"/>
            <w:szCs w:val="22"/>
          </w:rPr>
          <w:t>www.tesa.de/presse</w:t>
        </w:r>
      </w:hyperlink>
      <w:r w:rsidRPr="0082463E">
        <w:rPr>
          <w:sz w:val="22"/>
          <w:szCs w:val="22"/>
        </w:rPr>
        <w:t>.</w:t>
      </w:r>
    </w:p>
    <w:p w:rsidR="005E27B5" w:rsidRDefault="005E27B5" w:rsidP="005E27B5">
      <w:pPr>
        <w:autoSpaceDE w:val="0"/>
        <w:autoSpaceDN w:val="0"/>
        <w:adjustRightInd w:val="0"/>
        <w:ind w:left="-284"/>
      </w:pPr>
    </w:p>
    <w:p w:rsidR="00DD243C" w:rsidRPr="005E27B5" w:rsidRDefault="00DD243C" w:rsidP="005E27B5">
      <w:pPr>
        <w:autoSpaceDE w:val="0"/>
        <w:autoSpaceDN w:val="0"/>
        <w:adjustRightInd w:val="0"/>
        <w:ind w:left="-284"/>
      </w:pPr>
      <w:r w:rsidRPr="0082463E">
        <w:rPr>
          <w:b/>
          <w:bCs/>
          <w:sz w:val="20"/>
          <w:szCs w:val="20"/>
        </w:rPr>
        <w:t>Über die tesa SE</w:t>
      </w:r>
    </w:p>
    <w:p w:rsidR="00DD243C" w:rsidRPr="0082463E" w:rsidRDefault="003E7FFD" w:rsidP="0032459A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0"/>
          <w:szCs w:val="20"/>
        </w:rPr>
      </w:pPr>
      <w:r w:rsidRPr="0082463E">
        <w:rPr>
          <w:rFonts w:ascii="Arial" w:hAnsi="Arial" w:cs="Arial"/>
          <w:sz w:val="20"/>
          <w:szCs w:val="20"/>
        </w:rPr>
        <w:t xml:space="preserve">Die tesa SE ist einer der weltweit führenden Hersteller technischer Klebebänder und selbstklebender Systemlösungen (mehr als 7000 Produkte) für Industrie- und Gewerbekunden sowie Endverbraucher. Seit 2001 ist die tesa SE (3800 Mitarbeiter) eine 100-prozentige Tochtergesellschaft der Beiersdorf AG (u. a. NIVEA, </w:t>
      </w:r>
      <w:proofErr w:type="spellStart"/>
      <w:r w:rsidRPr="0082463E">
        <w:rPr>
          <w:rFonts w:ascii="Arial" w:hAnsi="Arial" w:cs="Arial"/>
          <w:sz w:val="20"/>
          <w:szCs w:val="20"/>
        </w:rPr>
        <w:t>Euce</w:t>
      </w:r>
      <w:r w:rsidR="008F182A">
        <w:rPr>
          <w:rFonts w:ascii="Arial" w:hAnsi="Arial" w:cs="Arial"/>
          <w:sz w:val="20"/>
          <w:szCs w:val="20"/>
        </w:rPr>
        <w:t>rin</w:t>
      </w:r>
      <w:proofErr w:type="spellEnd"/>
      <w:r w:rsidR="008F182A">
        <w:rPr>
          <w:rFonts w:ascii="Arial" w:hAnsi="Arial" w:cs="Arial"/>
          <w:sz w:val="20"/>
          <w:szCs w:val="20"/>
        </w:rPr>
        <w:t xml:space="preserve">, La Prairie). Etwa drei Viertel </w:t>
      </w:r>
      <w:r w:rsidR="00F63605" w:rsidRPr="0082463E">
        <w:rPr>
          <w:rFonts w:ascii="Arial" w:hAnsi="Arial" w:cs="Arial"/>
          <w:sz w:val="20"/>
          <w:szCs w:val="20"/>
        </w:rPr>
        <w:t>des tesa Umsatzes (2013: 1.038,5</w:t>
      </w:r>
      <w:r w:rsidRPr="0082463E">
        <w:rPr>
          <w:rFonts w:ascii="Arial" w:hAnsi="Arial" w:cs="Arial"/>
          <w:sz w:val="20"/>
          <w:szCs w:val="20"/>
        </w:rPr>
        <w:t xml:space="preserve"> Mio. Euro) entfallen auf Anwendungen für unterschiedliche Industriebranchen wie Automobil und</w:t>
      </w:r>
      <w:r w:rsidR="00C9307E">
        <w:rPr>
          <w:rFonts w:ascii="Arial" w:hAnsi="Arial" w:cs="Arial"/>
          <w:sz w:val="20"/>
          <w:szCs w:val="20"/>
        </w:rPr>
        <w:t xml:space="preserve"> Elektronik (z. B. Smartphones</w:t>
      </w:r>
      <w:r w:rsidRPr="0082463E">
        <w:rPr>
          <w:rFonts w:ascii="Arial" w:hAnsi="Arial" w:cs="Arial"/>
          <w:sz w:val="20"/>
          <w:szCs w:val="20"/>
        </w:rPr>
        <w:t xml:space="preserve">, </w:t>
      </w:r>
      <w:r w:rsidR="00C9307E">
        <w:rPr>
          <w:rFonts w:ascii="Arial" w:hAnsi="Arial" w:cs="Arial"/>
          <w:sz w:val="20"/>
          <w:szCs w:val="20"/>
        </w:rPr>
        <w:t>Tabl</w:t>
      </w:r>
      <w:r w:rsidR="000201F5">
        <w:rPr>
          <w:rFonts w:ascii="Arial" w:hAnsi="Arial" w:cs="Arial"/>
          <w:sz w:val="20"/>
          <w:szCs w:val="20"/>
        </w:rPr>
        <w:t>et-PCs</w:t>
      </w:r>
      <w:bookmarkStart w:id="0" w:name="_GoBack"/>
      <w:bookmarkEnd w:id="0"/>
      <w:r w:rsidR="00C9307E">
        <w:rPr>
          <w:rFonts w:ascii="Arial" w:hAnsi="Arial" w:cs="Arial"/>
          <w:sz w:val="20"/>
          <w:szCs w:val="20"/>
        </w:rPr>
        <w:t xml:space="preserve">), Druck </w:t>
      </w:r>
      <w:r w:rsidRPr="0082463E">
        <w:rPr>
          <w:rFonts w:ascii="Arial" w:hAnsi="Arial" w:cs="Arial"/>
          <w:sz w:val="20"/>
          <w:szCs w:val="20"/>
        </w:rPr>
        <w:t>&amp; Papier</w:t>
      </w:r>
      <w:r w:rsidR="008F182A">
        <w:rPr>
          <w:rFonts w:ascii="Arial" w:hAnsi="Arial" w:cs="Arial"/>
          <w:sz w:val="20"/>
          <w:szCs w:val="20"/>
        </w:rPr>
        <w:t>, Building Supply</w:t>
      </w:r>
      <w:r w:rsidRPr="0082463E">
        <w:rPr>
          <w:rFonts w:ascii="Arial" w:hAnsi="Arial" w:cs="Arial"/>
          <w:sz w:val="20"/>
          <w:szCs w:val="20"/>
        </w:rPr>
        <w:t xml:space="preserve"> sowie Sicherheitskonzepte für einen effektiven Marken- und Produktschutz. Seit kurzem entwickelt tesa als Partner der Pharmaindustrie auch arzneimittelhal</w:t>
      </w:r>
      <w:r w:rsidR="008F182A">
        <w:rPr>
          <w:rFonts w:ascii="Arial" w:hAnsi="Arial" w:cs="Arial"/>
          <w:sz w:val="20"/>
          <w:szCs w:val="20"/>
        </w:rPr>
        <w:t xml:space="preserve">tige Pflaster. Knapp ein Viertel des </w:t>
      </w:r>
      <w:r w:rsidRPr="0082463E">
        <w:rPr>
          <w:rFonts w:ascii="Arial" w:hAnsi="Arial" w:cs="Arial"/>
          <w:sz w:val="20"/>
          <w:szCs w:val="20"/>
        </w:rPr>
        <w:t>Umsatz</w:t>
      </w:r>
      <w:r w:rsidR="008F182A">
        <w:rPr>
          <w:rFonts w:ascii="Arial" w:hAnsi="Arial" w:cs="Arial"/>
          <w:sz w:val="20"/>
          <w:szCs w:val="20"/>
        </w:rPr>
        <w:t xml:space="preserve">es </w:t>
      </w:r>
      <w:r w:rsidRPr="0082463E">
        <w:rPr>
          <w:rFonts w:ascii="Arial" w:hAnsi="Arial" w:cs="Arial"/>
          <w:sz w:val="20"/>
          <w:szCs w:val="20"/>
        </w:rPr>
        <w:t>erwirtschaftet tesa im Consumer-Bereich. 300 Produkte für Endverbraucher erleichtern die Arbeit im Haushalt und Büro.</w:t>
      </w:r>
    </w:p>
    <w:p w:rsidR="00DD243C" w:rsidRPr="0082463E" w:rsidRDefault="00DD243C" w:rsidP="0032459A">
      <w:pPr>
        <w:tabs>
          <w:tab w:val="left" w:pos="8080"/>
        </w:tabs>
        <w:spacing w:line="360" w:lineRule="auto"/>
        <w:ind w:left="-284" w:right="-569"/>
        <w:rPr>
          <w:sz w:val="22"/>
          <w:szCs w:val="22"/>
        </w:rPr>
      </w:pPr>
    </w:p>
    <w:p w:rsidR="00553D6C" w:rsidRPr="0082463E" w:rsidRDefault="00553D6C" w:rsidP="0032459A">
      <w:pPr>
        <w:tabs>
          <w:tab w:val="left" w:pos="8080"/>
        </w:tabs>
        <w:ind w:left="-284"/>
        <w:rPr>
          <w:sz w:val="22"/>
          <w:szCs w:val="22"/>
        </w:rPr>
      </w:pPr>
      <w:r w:rsidRPr="0082463E">
        <w:rPr>
          <w:b/>
          <w:bCs/>
          <w:sz w:val="22"/>
          <w:szCs w:val="22"/>
        </w:rPr>
        <w:t>Pressekontakt:</w:t>
      </w:r>
    </w:p>
    <w:p w:rsidR="00553D6C" w:rsidRPr="0082463E" w:rsidRDefault="00553D6C" w:rsidP="0032459A">
      <w:pPr>
        <w:tabs>
          <w:tab w:val="left" w:pos="8080"/>
        </w:tabs>
        <w:ind w:left="-284"/>
        <w:rPr>
          <w:sz w:val="22"/>
          <w:szCs w:val="22"/>
        </w:rPr>
      </w:pPr>
      <w:r w:rsidRPr="0082463E">
        <w:rPr>
          <w:sz w:val="22"/>
          <w:szCs w:val="22"/>
        </w:rPr>
        <w:t xml:space="preserve">tesa SE </w:t>
      </w:r>
    </w:p>
    <w:p w:rsidR="00553D6C" w:rsidRPr="0082463E" w:rsidRDefault="00553D6C" w:rsidP="0032459A">
      <w:pPr>
        <w:tabs>
          <w:tab w:val="left" w:pos="8080"/>
        </w:tabs>
        <w:ind w:left="-284"/>
        <w:rPr>
          <w:sz w:val="22"/>
          <w:szCs w:val="22"/>
        </w:rPr>
      </w:pPr>
      <w:r w:rsidRPr="0082463E">
        <w:rPr>
          <w:sz w:val="22"/>
          <w:szCs w:val="22"/>
        </w:rPr>
        <w:t>Reinhart Martin – Leiter Unternehmenskommunikation</w:t>
      </w:r>
    </w:p>
    <w:p w:rsidR="00553D6C" w:rsidRPr="0082463E" w:rsidRDefault="00553D6C" w:rsidP="0032459A">
      <w:pPr>
        <w:tabs>
          <w:tab w:val="left" w:pos="8080"/>
        </w:tabs>
        <w:ind w:left="-284"/>
        <w:rPr>
          <w:sz w:val="22"/>
          <w:szCs w:val="22"/>
        </w:rPr>
      </w:pPr>
      <w:r w:rsidRPr="0082463E">
        <w:rPr>
          <w:sz w:val="22"/>
          <w:szCs w:val="22"/>
        </w:rPr>
        <w:t>Tel: +49(0)40 - 4909-4448</w:t>
      </w:r>
    </w:p>
    <w:p w:rsidR="00F50023" w:rsidRPr="0082463E" w:rsidRDefault="00553D6C" w:rsidP="005E27B5">
      <w:pPr>
        <w:widowControl w:val="0"/>
        <w:autoSpaceDE w:val="0"/>
        <w:autoSpaceDN w:val="0"/>
        <w:adjustRightInd w:val="0"/>
        <w:ind w:left="-284" w:right="-1"/>
        <w:rPr>
          <w:sz w:val="22"/>
          <w:szCs w:val="22"/>
        </w:rPr>
      </w:pPr>
      <w:r w:rsidRPr="0082463E">
        <w:rPr>
          <w:sz w:val="22"/>
          <w:szCs w:val="22"/>
        </w:rPr>
        <w:t xml:space="preserve">E-Mail: </w:t>
      </w:r>
      <w:hyperlink r:id="rId10" w:history="1">
        <w:r w:rsidRPr="0082463E">
          <w:rPr>
            <w:rStyle w:val="Hyperlink"/>
            <w:color w:val="auto"/>
            <w:sz w:val="22"/>
            <w:szCs w:val="22"/>
          </w:rPr>
          <w:t>reinhart.martin@tesa.com</w:t>
        </w:r>
      </w:hyperlink>
    </w:p>
    <w:sectPr w:rsidR="00F50023" w:rsidRPr="0082463E" w:rsidSect="00D60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3" w:right="1416" w:bottom="1134" w:left="1985" w:header="102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E9" w:rsidRDefault="003B0BE9">
      <w:r>
        <w:separator/>
      </w:r>
    </w:p>
  </w:endnote>
  <w:endnote w:type="continuationSeparator" w:id="0">
    <w:p w:rsidR="003B0BE9" w:rsidRDefault="003B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D" w:rsidRDefault="009B39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D" w:rsidRDefault="009B39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D" w:rsidRDefault="009B3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E9" w:rsidRDefault="003B0BE9">
      <w:r>
        <w:separator/>
      </w:r>
    </w:p>
  </w:footnote>
  <w:footnote w:type="continuationSeparator" w:id="0">
    <w:p w:rsidR="003B0BE9" w:rsidRDefault="003B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0" w:rsidRDefault="005F1779" w:rsidP="00FD229C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0312C0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0312C0" w:rsidRDefault="000312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0" w:rsidRDefault="005F1779" w:rsidP="00FD229C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0312C0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0201F5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0312C0" w:rsidRDefault="000312C0" w:rsidP="000E5C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0" w:rsidRDefault="000312C0" w:rsidP="000E5C7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-86360</wp:posOffset>
          </wp:positionV>
          <wp:extent cx="5781675" cy="447675"/>
          <wp:effectExtent l="19050" t="0" r="9525" b="0"/>
          <wp:wrapNone/>
          <wp:docPr id="6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2C0" w:rsidRDefault="000312C0" w:rsidP="000E5C70">
    <w:pPr>
      <w:pStyle w:val="Kopfzeile"/>
    </w:pPr>
  </w:p>
  <w:p w:rsidR="000312C0" w:rsidRDefault="000312C0" w:rsidP="000E5C70">
    <w:pPr>
      <w:pStyle w:val="Kopfzeile"/>
      <w:rPr>
        <w:sz w:val="16"/>
        <w:szCs w:val="16"/>
      </w:rPr>
    </w:pPr>
  </w:p>
  <w:p w:rsidR="000312C0" w:rsidRDefault="000201F5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45pt;margin-top:1.2pt;width:414.55pt;height:53.4pt;z-index:251662336;mso-width-relative:margin;mso-height-relative:margin" stroked="f">
          <v:textbox style="mso-next-textbox:#_x0000_s2049">
            <w:txbxContent>
              <w:p w:rsidR="000312C0" w:rsidRDefault="000312C0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7513"/>
                    <w:tab w:val="right" w:pos="9214"/>
                  </w:tabs>
                  <w:rPr>
                    <w:sz w:val="16"/>
                    <w:szCs w:val="16"/>
                  </w:rPr>
                </w:pPr>
              </w:p>
              <w:p w:rsidR="000312C0" w:rsidRDefault="000312C0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5812"/>
                    <w:tab w:val="left" w:pos="6379"/>
                    <w:tab w:val="right" w:pos="9214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tab/>
                </w:r>
                <w:r>
                  <w:tab/>
                </w:r>
                <w:r>
                  <w:rPr>
                    <w:sz w:val="12"/>
                    <w:szCs w:val="12"/>
                  </w:rPr>
                  <w:t>Postfach 57 02 62</w:t>
                </w:r>
              </w:p>
              <w:p w:rsidR="000312C0" w:rsidRDefault="000312C0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6379"/>
                    <w:tab w:val="right" w:pos="9214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ab/>
                  <w:t>22771 Hamburg</w:t>
                </w:r>
              </w:p>
              <w:p w:rsidR="000312C0" w:rsidRDefault="000312C0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5812"/>
                    <w:tab w:val="left" w:pos="5954"/>
                    <w:tab w:val="left" w:pos="6379"/>
                    <w:tab w:val="left" w:pos="7230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ab/>
                  <w:t>Telefon +49 (0)40 4909 4448</w:t>
                </w:r>
              </w:p>
              <w:p w:rsidR="000312C0" w:rsidRDefault="000312C0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5812"/>
                    <w:tab w:val="left" w:pos="6379"/>
                    <w:tab w:val="left" w:pos="6521"/>
                    <w:tab w:val="left" w:pos="7230"/>
                    <w:tab w:val="right" w:pos="7655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ab/>
                  <w:t>Fax +49 (0)40 4909 2236</w:t>
                </w:r>
              </w:p>
              <w:p w:rsidR="000312C0" w:rsidRDefault="000312C0"/>
            </w:txbxContent>
          </v:textbox>
        </v:shape>
      </w:pict>
    </w:r>
    <w:r w:rsidR="000312C0">
      <w:tab/>
    </w:r>
  </w:p>
  <w:p w:rsidR="000312C0" w:rsidRDefault="000312C0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0312C0" w:rsidRDefault="000312C0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0312C0" w:rsidRDefault="000312C0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0312C0" w:rsidRDefault="000312C0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0312C0" w:rsidRDefault="000312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A61BC"/>
    <w:multiLevelType w:val="hybridMultilevel"/>
    <w:tmpl w:val="24727EC6"/>
    <w:lvl w:ilvl="0" w:tplc="0407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614B3D39"/>
    <w:multiLevelType w:val="hybridMultilevel"/>
    <w:tmpl w:val="45A05F28"/>
    <w:lvl w:ilvl="0" w:tplc="66DA5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372CC"/>
    <w:multiLevelType w:val="hybridMultilevel"/>
    <w:tmpl w:val="8DBE1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29"/>
    <w:rsid w:val="0000333C"/>
    <w:rsid w:val="000055CF"/>
    <w:rsid w:val="00010489"/>
    <w:rsid w:val="00012717"/>
    <w:rsid w:val="00013E8C"/>
    <w:rsid w:val="0001532C"/>
    <w:rsid w:val="00015B9E"/>
    <w:rsid w:val="000201F5"/>
    <w:rsid w:val="0002397B"/>
    <w:rsid w:val="00023E40"/>
    <w:rsid w:val="00023F1D"/>
    <w:rsid w:val="0002726E"/>
    <w:rsid w:val="000312C0"/>
    <w:rsid w:val="00036A3A"/>
    <w:rsid w:val="00045DA7"/>
    <w:rsid w:val="00050786"/>
    <w:rsid w:val="000554E5"/>
    <w:rsid w:val="00056FE7"/>
    <w:rsid w:val="00064025"/>
    <w:rsid w:val="000674A6"/>
    <w:rsid w:val="0007069C"/>
    <w:rsid w:val="00082B60"/>
    <w:rsid w:val="000931B5"/>
    <w:rsid w:val="000A0304"/>
    <w:rsid w:val="000A0CB0"/>
    <w:rsid w:val="000A4BA2"/>
    <w:rsid w:val="000A75E7"/>
    <w:rsid w:val="000B3AE3"/>
    <w:rsid w:val="000B5189"/>
    <w:rsid w:val="000C0898"/>
    <w:rsid w:val="000E1728"/>
    <w:rsid w:val="000E2EC1"/>
    <w:rsid w:val="000E49E9"/>
    <w:rsid w:val="000E5C70"/>
    <w:rsid w:val="000F12B5"/>
    <w:rsid w:val="000F352B"/>
    <w:rsid w:val="000F3DAC"/>
    <w:rsid w:val="000F4828"/>
    <w:rsid w:val="000F5830"/>
    <w:rsid w:val="000F625B"/>
    <w:rsid w:val="000F6521"/>
    <w:rsid w:val="000F652F"/>
    <w:rsid w:val="00100D93"/>
    <w:rsid w:val="00102E03"/>
    <w:rsid w:val="00104515"/>
    <w:rsid w:val="00105EED"/>
    <w:rsid w:val="001066EE"/>
    <w:rsid w:val="00107132"/>
    <w:rsid w:val="00114AB2"/>
    <w:rsid w:val="00114CD6"/>
    <w:rsid w:val="00115A4F"/>
    <w:rsid w:val="0011713A"/>
    <w:rsid w:val="00123568"/>
    <w:rsid w:val="0012397A"/>
    <w:rsid w:val="001242EE"/>
    <w:rsid w:val="001246C5"/>
    <w:rsid w:val="001333B9"/>
    <w:rsid w:val="00133D09"/>
    <w:rsid w:val="00140C62"/>
    <w:rsid w:val="00142D59"/>
    <w:rsid w:val="00143890"/>
    <w:rsid w:val="0014479C"/>
    <w:rsid w:val="001461AF"/>
    <w:rsid w:val="00147264"/>
    <w:rsid w:val="0015324D"/>
    <w:rsid w:val="00153E93"/>
    <w:rsid w:val="001554FE"/>
    <w:rsid w:val="00160170"/>
    <w:rsid w:val="00162C5A"/>
    <w:rsid w:val="0016747B"/>
    <w:rsid w:val="001679EA"/>
    <w:rsid w:val="00176439"/>
    <w:rsid w:val="00185564"/>
    <w:rsid w:val="00187830"/>
    <w:rsid w:val="001923CE"/>
    <w:rsid w:val="001A70BB"/>
    <w:rsid w:val="001A74E5"/>
    <w:rsid w:val="001B1948"/>
    <w:rsid w:val="001B331B"/>
    <w:rsid w:val="001B7655"/>
    <w:rsid w:val="001B7C6E"/>
    <w:rsid w:val="001C356C"/>
    <w:rsid w:val="001C6D03"/>
    <w:rsid w:val="001D05A4"/>
    <w:rsid w:val="001D240E"/>
    <w:rsid w:val="001D25F1"/>
    <w:rsid w:val="001D483C"/>
    <w:rsid w:val="001D4B9C"/>
    <w:rsid w:val="001E1F9A"/>
    <w:rsid w:val="001E1FE6"/>
    <w:rsid w:val="001F20F4"/>
    <w:rsid w:val="001F332E"/>
    <w:rsid w:val="001F7448"/>
    <w:rsid w:val="00202FC9"/>
    <w:rsid w:val="00206922"/>
    <w:rsid w:val="002133C8"/>
    <w:rsid w:val="002152E4"/>
    <w:rsid w:val="002202EE"/>
    <w:rsid w:val="00225714"/>
    <w:rsid w:val="00230B74"/>
    <w:rsid w:val="00232EB4"/>
    <w:rsid w:val="00240D5C"/>
    <w:rsid w:val="0024366C"/>
    <w:rsid w:val="00251875"/>
    <w:rsid w:val="0025318A"/>
    <w:rsid w:val="002567A9"/>
    <w:rsid w:val="00260159"/>
    <w:rsid w:val="002620C6"/>
    <w:rsid w:val="00264A1E"/>
    <w:rsid w:val="00266AFF"/>
    <w:rsid w:val="0027448B"/>
    <w:rsid w:val="00283064"/>
    <w:rsid w:val="00284B6A"/>
    <w:rsid w:val="00293F42"/>
    <w:rsid w:val="002A529E"/>
    <w:rsid w:val="002B20D8"/>
    <w:rsid w:val="002B4345"/>
    <w:rsid w:val="002B7803"/>
    <w:rsid w:val="002C5A90"/>
    <w:rsid w:val="002C7BCE"/>
    <w:rsid w:val="002D61DA"/>
    <w:rsid w:val="002E0DA7"/>
    <w:rsid w:val="002E3C5E"/>
    <w:rsid w:val="002E6040"/>
    <w:rsid w:val="002E76DA"/>
    <w:rsid w:val="002F27B1"/>
    <w:rsid w:val="002F46E6"/>
    <w:rsid w:val="002F6BBD"/>
    <w:rsid w:val="002F790E"/>
    <w:rsid w:val="00300959"/>
    <w:rsid w:val="0031022C"/>
    <w:rsid w:val="003128FE"/>
    <w:rsid w:val="0032319B"/>
    <w:rsid w:val="0032459A"/>
    <w:rsid w:val="00325DD3"/>
    <w:rsid w:val="00327FB6"/>
    <w:rsid w:val="00327FE5"/>
    <w:rsid w:val="00330756"/>
    <w:rsid w:val="00331524"/>
    <w:rsid w:val="00333F8B"/>
    <w:rsid w:val="003350DE"/>
    <w:rsid w:val="00336BEA"/>
    <w:rsid w:val="00337E4D"/>
    <w:rsid w:val="00353F3A"/>
    <w:rsid w:val="00354101"/>
    <w:rsid w:val="003672C7"/>
    <w:rsid w:val="00367467"/>
    <w:rsid w:val="003700ED"/>
    <w:rsid w:val="00371034"/>
    <w:rsid w:val="00377453"/>
    <w:rsid w:val="00382169"/>
    <w:rsid w:val="00383B27"/>
    <w:rsid w:val="00385584"/>
    <w:rsid w:val="00385C51"/>
    <w:rsid w:val="00391031"/>
    <w:rsid w:val="003962DD"/>
    <w:rsid w:val="003A1774"/>
    <w:rsid w:val="003A6D3F"/>
    <w:rsid w:val="003B0BE9"/>
    <w:rsid w:val="003B23E2"/>
    <w:rsid w:val="003B46B9"/>
    <w:rsid w:val="003B7940"/>
    <w:rsid w:val="003C2150"/>
    <w:rsid w:val="003C7FC6"/>
    <w:rsid w:val="003D1F57"/>
    <w:rsid w:val="003D218E"/>
    <w:rsid w:val="003D2663"/>
    <w:rsid w:val="003D7E7A"/>
    <w:rsid w:val="003E7FFD"/>
    <w:rsid w:val="003F3F64"/>
    <w:rsid w:val="003F523B"/>
    <w:rsid w:val="003F57D7"/>
    <w:rsid w:val="00402F35"/>
    <w:rsid w:val="004156FB"/>
    <w:rsid w:val="00416F1E"/>
    <w:rsid w:val="004209A6"/>
    <w:rsid w:val="004217F5"/>
    <w:rsid w:val="00425545"/>
    <w:rsid w:val="004304E2"/>
    <w:rsid w:val="00430639"/>
    <w:rsid w:val="00431F22"/>
    <w:rsid w:val="00432EDA"/>
    <w:rsid w:val="004361F8"/>
    <w:rsid w:val="00440D11"/>
    <w:rsid w:val="004435AC"/>
    <w:rsid w:val="00444847"/>
    <w:rsid w:val="00445CBE"/>
    <w:rsid w:val="004509EB"/>
    <w:rsid w:val="004522A6"/>
    <w:rsid w:val="004572AD"/>
    <w:rsid w:val="00460E21"/>
    <w:rsid w:val="00462D62"/>
    <w:rsid w:val="00463081"/>
    <w:rsid w:val="00463F2E"/>
    <w:rsid w:val="00464C6A"/>
    <w:rsid w:val="00474543"/>
    <w:rsid w:val="0048081F"/>
    <w:rsid w:val="00480B85"/>
    <w:rsid w:val="00480D4D"/>
    <w:rsid w:val="00483A68"/>
    <w:rsid w:val="00485560"/>
    <w:rsid w:val="004855CF"/>
    <w:rsid w:val="0048572A"/>
    <w:rsid w:val="0048574F"/>
    <w:rsid w:val="00490F0D"/>
    <w:rsid w:val="00493D16"/>
    <w:rsid w:val="00495B83"/>
    <w:rsid w:val="004A223B"/>
    <w:rsid w:val="004A6505"/>
    <w:rsid w:val="004A7DCD"/>
    <w:rsid w:val="004B7F6F"/>
    <w:rsid w:val="004D2953"/>
    <w:rsid w:val="004D54F1"/>
    <w:rsid w:val="004E1955"/>
    <w:rsid w:val="004E4814"/>
    <w:rsid w:val="004E62EF"/>
    <w:rsid w:val="004E6B34"/>
    <w:rsid w:val="004F49A6"/>
    <w:rsid w:val="0050085F"/>
    <w:rsid w:val="005013D5"/>
    <w:rsid w:val="00502D6B"/>
    <w:rsid w:val="00502DD1"/>
    <w:rsid w:val="005037A9"/>
    <w:rsid w:val="005067EA"/>
    <w:rsid w:val="00507BA5"/>
    <w:rsid w:val="00511879"/>
    <w:rsid w:val="00516C6D"/>
    <w:rsid w:val="00522699"/>
    <w:rsid w:val="00522888"/>
    <w:rsid w:val="00523665"/>
    <w:rsid w:val="00523DC9"/>
    <w:rsid w:val="00527940"/>
    <w:rsid w:val="00527D19"/>
    <w:rsid w:val="005345AB"/>
    <w:rsid w:val="00534670"/>
    <w:rsid w:val="00535FCA"/>
    <w:rsid w:val="0053724C"/>
    <w:rsid w:val="00540019"/>
    <w:rsid w:val="00540518"/>
    <w:rsid w:val="005449A9"/>
    <w:rsid w:val="00544A18"/>
    <w:rsid w:val="00551095"/>
    <w:rsid w:val="00551318"/>
    <w:rsid w:val="00551E06"/>
    <w:rsid w:val="00552988"/>
    <w:rsid w:val="00553D6C"/>
    <w:rsid w:val="00560147"/>
    <w:rsid w:val="00561952"/>
    <w:rsid w:val="0056337E"/>
    <w:rsid w:val="00564918"/>
    <w:rsid w:val="00565E9B"/>
    <w:rsid w:val="00566FA5"/>
    <w:rsid w:val="005717F0"/>
    <w:rsid w:val="005758F5"/>
    <w:rsid w:val="005772FA"/>
    <w:rsid w:val="005801CB"/>
    <w:rsid w:val="0058289E"/>
    <w:rsid w:val="00583729"/>
    <w:rsid w:val="0058500D"/>
    <w:rsid w:val="005857D3"/>
    <w:rsid w:val="00587AFD"/>
    <w:rsid w:val="00587F35"/>
    <w:rsid w:val="005937B6"/>
    <w:rsid w:val="005978F6"/>
    <w:rsid w:val="005A0520"/>
    <w:rsid w:val="005A0BE9"/>
    <w:rsid w:val="005A3557"/>
    <w:rsid w:val="005B3BFD"/>
    <w:rsid w:val="005C5633"/>
    <w:rsid w:val="005D7A0F"/>
    <w:rsid w:val="005D7ABF"/>
    <w:rsid w:val="005E27B5"/>
    <w:rsid w:val="005E4719"/>
    <w:rsid w:val="005E4780"/>
    <w:rsid w:val="005E5168"/>
    <w:rsid w:val="005F1779"/>
    <w:rsid w:val="005F2AE8"/>
    <w:rsid w:val="0060189C"/>
    <w:rsid w:val="00610676"/>
    <w:rsid w:val="00611018"/>
    <w:rsid w:val="00626310"/>
    <w:rsid w:val="00647179"/>
    <w:rsid w:val="0065106D"/>
    <w:rsid w:val="00653DD8"/>
    <w:rsid w:val="00654773"/>
    <w:rsid w:val="00664730"/>
    <w:rsid w:val="006653D7"/>
    <w:rsid w:val="00674578"/>
    <w:rsid w:val="00683D9A"/>
    <w:rsid w:val="0069527D"/>
    <w:rsid w:val="006A06DC"/>
    <w:rsid w:val="006B4B58"/>
    <w:rsid w:val="006B532D"/>
    <w:rsid w:val="006B5936"/>
    <w:rsid w:val="006B5E42"/>
    <w:rsid w:val="006C6A21"/>
    <w:rsid w:val="006D25CD"/>
    <w:rsid w:val="006D334E"/>
    <w:rsid w:val="006E34B3"/>
    <w:rsid w:val="006F2EF9"/>
    <w:rsid w:val="006F58EA"/>
    <w:rsid w:val="00701D2D"/>
    <w:rsid w:val="00702D66"/>
    <w:rsid w:val="007031AA"/>
    <w:rsid w:val="0070474F"/>
    <w:rsid w:val="007118DA"/>
    <w:rsid w:val="0071239E"/>
    <w:rsid w:val="007150DA"/>
    <w:rsid w:val="0072318F"/>
    <w:rsid w:val="007319E8"/>
    <w:rsid w:val="00732521"/>
    <w:rsid w:val="00736036"/>
    <w:rsid w:val="00741158"/>
    <w:rsid w:val="0074117F"/>
    <w:rsid w:val="00742F2B"/>
    <w:rsid w:val="007473B7"/>
    <w:rsid w:val="00751787"/>
    <w:rsid w:val="00752CA8"/>
    <w:rsid w:val="00755C58"/>
    <w:rsid w:val="00762562"/>
    <w:rsid w:val="007652C0"/>
    <w:rsid w:val="007711B5"/>
    <w:rsid w:val="00773969"/>
    <w:rsid w:val="00781E40"/>
    <w:rsid w:val="00781FE8"/>
    <w:rsid w:val="00783F8B"/>
    <w:rsid w:val="00785204"/>
    <w:rsid w:val="0078771B"/>
    <w:rsid w:val="00790D16"/>
    <w:rsid w:val="007A2072"/>
    <w:rsid w:val="007A65CE"/>
    <w:rsid w:val="007A7B56"/>
    <w:rsid w:val="007B404C"/>
    <w:rsid w:val="007C722B"/>
    <w:rsid w:val="007D0453"/>
    <w:rsid w:val="007D164E"/>
    <w:rsid w:val="007D586D"/>
    <w:rsid w:val="007E468D"/>
    <w:rsid w:val="007E49C9"/>
    <w:rsid w:val="007F00EA"/>
    <w:rsid w:val="007F366A"/>
    <w:rsid w:val="007F427D"/>
    <w:rsid w:val="00800CEF"/>
    <w:rsid w:val="00803FF6"/>
    <w:rsid w:val="008049A7"/>
    <w:rsid w:val="00807374"/>
    <w:rsid w:val="008152BD"/>
    <w:rsid w:val="0082109B"/>
    <w:rsid w:val="0082351D"/>
    <w:rsid w:val="0082463E"/>
    <w:rsid w:val="00827207"/>
    <w:rsid w:val="00827C35"/>
    <w:rsid w:val="00831628"/>
    <w:rsid w:val="00835684"/>
    <w:rsid w:val="00837FA5"/>
    <w:rsid w:val="0084115B"/>
    <w:rsid w:val="008430DF"/>
    <w:rsid w:val="00843BE0"/>
    <w:rsid w:val="00844D34"/>
    <w:rsid w:val="00845CD8"/>
    <w:rsid w:val="00846F74"/>
    <w:rsid w:val="008509E3"/>
    <w:rsid w:val="00852B9E"/>
    <w:rsid w:val="008550B0"/>
    <w:rsid w:val="00855AC9"/>
    <w:rsid w:val="008607C6"/>
    <w:rsid w:val="00862FE1"/>
    <w:rsid w:val="00866D35"/>
    <w:rsid w:val="008733B1"/>
    <w:rsid w:val="00874ED7"/>
    <w:rsid w:val="00877629"/>
    <w:rsid w:val="008778A4"/>
    <w:rsid w:val="00883220"/>
    <w:rsid w:val="00883BB9"/>
    <w:rsid w:val="0088659C"/>
    <w:rsid w:val="00890964"/>
    <w:rsid w:val="0089280A"/>
    <w:rsid w:val="008939C6"/>
    <w:rsid w:val="008B74E5"/>
    <w:rsid w:val="008B7B36"/>
    <w:rsid w:val="008D4397"/>
    <w:rsid w:val="008E0C66"/>
    <w:rsid w:val="008E3844"/>
    <w:rsid w:val="008E5300"/>
    <w:rsid w:val="008F182A"/>
    <w:rsid w:val="008F67D1"/>
    <w:rsid w:val="008F6B4E"/>
    <w:rsid w:val="00900156"/>
    <w:rsid w:val="0090189F"/>
    <w:rsid w:val="00901CC1"/>
    <w:rsid w:val="00901CEF"/>
    <w:rsid w:val="009034B6"/>
    <w:rsid w:val="009066BA"/>
    <w:rsid w:val="00910BAD"/>
    <w:rsid w:val="00912961"/>
    <w:rsid w:val="00920049"/>
    <w:rsid w:val="0092064E"/>
    <w:rsid w:val="0092351A"/>
    <w:rsid w:val="00923E49"/>
    <w:rsid w:val="00925E49"/>
    <w:rsid w:val="009264D0"/>
    <w:rsid w:val="00926BFF"/>
    <w:rsid w:val="0092746C"/>
    <w:rsid w:val="009370E4"/>
    <w:rsid w:val="00942463"/>
    <w:rsid w:val="009425F5"/>
    <w:rsid w:val="00942DB9"/>
    <w:rsid w:val="009431D5"/>
    <w:rsid w:val="0095433A"/>
    <w:rsid w:val="00954E36"/>
    <w:rsid w:val="0095562D"/>
    <w:rsid w:val="0095567C"/>
    <w:rsid w:val="009601DC"/>
    <w:rsid w:val="009626B0"/>
    <w:rsid w:val="00971556"/>
    <w:rsid w:val="00971EF4"/>
    <w:rsid w:val="00976746"/>
    <w:rsid w:val="00982126"/>
    <w:rsid w:val="00983F1D"/>
    <w:rsid w:val="00984B02"/>
    <w:rsid w:val="00986B14"/>
    <w:rsid w:val="00993766"/>
    <w:rsid w:val="00994059"/>
    <w:rsid w:val="009A13B3"/>
    <w:rsid w:val="009A7236"/>
    <w:rsid w:val="009A7AC3"/>
    <w:rsid w:val="009B390D"/>
    <w:rsid w:val="009C3137"/>
    <w:rsid w:val="009C680C"/>
    <w:rsid w:val="009C7123"/>
    <w:rsid w:val="009D24EC"/>
    <w:rsid w:val="009D68BA"/>
    <w:rsid w:val="009E105B"/>
    <w:rsid w:val="009E2E02"/>
    <w:rsid w:val="009E367B"/>
    <w:rsid w:val="009E457E"/>
    <w:rsid w:val="009F4EFD"/>
    <w:rsid w:val="00A00866"/>
    <w:rsid w:val="00A02ADA"/>
    <w:rsid w:val="00A02F00"/>
    <w:rsid w:val="00A0516D"/>
    <w:rsid w:val="00A0517F"/>
    <w:rsid w:val="00A107D0"/>
    <w:rsid w:val="00A116C1"/>
    <w:rsid w:val="00A215CF"/>
    <w:rsid w:val="00A34018"/>
    <w:rsid w:val="00A360FA"/>
    <w:rsid w:val="00A4101E"/>
    <w:rsid w:val="00A42C63"/>
    <w:rsid w:val="00A44FF3"/>
    <w:rsid w:val="00A45B32"/>
    <w:rsid w:val="00A525DA"/>
    <w:rsid w:val="00A54DBC"/>
    <w:rsid w:val="00A56B34"/>
    <w:rsid w:val="00A7565F"/>
    <w:rsid w:val="00A86A2F"/>
    <w:rsid w:val="00A903C5"/>
    <w:rsid w:val="00A93947"/>
    <w:rsid w:val="00A93CFF"/>
    <w:rsid w:val="00AA351D"/>
    <w:rsid w:val="00AA4E03"/>
    <w:rsid w:val="00AA5ADE"/>
    <w:rsid w:val="00AB1502"/>
    <w:rsid w:val="00AB36A1"/>
    <w:rsid w:val="00AB75D9"/>
    <w:rsid w:val="00AC019C"/>
    <w:rsid w:val="00AC0F2D"/>
    <w:rsid w:val="00AC1783"/>
    <w:rsid w:val="00AC209B"/>
    <w:rsid w:val="00AC41C7"/>
    <w:rsid w:val="00AC475E"/>
    <w:rsid w:val="00AC61AC"/>
    <w:rsid w:val="00AD1A7A"/>
    <w:rsid w:val="00AD363E"/>
    <w:rsid w:val="00AD3F38"/>
    <w:rsid w:val="00AD4D91"/>
    <w:rsid w:val="00AE0C19"/>
    <w:rsid w:val="00AE1D47"/>
    <w:rsid w:val="00AE2F2D"/>
    <w:rsid w:val="00AE62D9"/>
    <w:rsid w:val="00AF1EF3"/>
    <w:rsid w:val="00AF40A3"/>
    <w:rsid w:val="00AF40E4"/>
    <w:rsid w:val="00AF470A"/>
    <w:rsid w:val="00AF4A0D"/>
    <w:rsid w:val="00AF65D1"/>
    <w:rsid w:val="00AF65F8"/>
    <w:rsid w:val="00B008B0"/>
    <w:rsid w:val="00B00A66"/>
    <w:rsid w:val="00B10029"/>
    <w:rsid w:val="00B10831"/>
    <w:rsid w:val="00B11603"/>
    <w:rsid w:val="00B12363"/>
    <w:rsid w:val="00B12751"/>
    <w:rsid w:val="00B12B04"/>
    <w:rsid w:val="00B12FE0"/>
    <w:rsid w:val="00B15835"/>
    <w:rsid w:val="00B168F8"/>
    <w:rsid w:val="00B17AB5"/>
    <w:rsid w:val="00B21957"/>
    <w:rsid w:val="00B2401E"/>
    <w:rsid w:val="00B24205"/>
    <w:rsid w:val="00B25625"/>
    <w:rsid w:val="00B27D4E"/>
    <w:rsid w:val="00B31BF5"/>
    <w:rsid w:val="00B376CD"/>
    <w:rsid w:val="00B37B4B"/>
    <w:rsid w:val="00B40A62"/>
    <w:rsid w:val="00B4365D"/>
    <w:rsid w:val="00B63014"/>
    <w:rsid w:val="00B6391B"/>
    <w:rsid w:val="00B6574E"/>
    <w:rsid w:val="00B67C67"/>
    <w:rsid w:val="00B728C3"/>
    <w:rsid w:val="00B7365A"/>
    <w:rsid w:val="00B835E0"/>
    <w:rsid w:val="00B85E7E"/>
    <w:rsid w:val="00B90211"/>
    <w:rsid w:val="00B90CB9"/>
    <w:rsid w:val="00B9126C"/>
    <w:rsid w:val="00B94F9E"/>
    <w:rsid w:val="00BA0BE8"/>
    <w:rsid w:val="00BA0DE7"/>
    <w:rsid w:val="00BA4BA9"/>
    <w:rsid w:val="00BA5866"/>
    <w:rsid w:val="00BA7248"/>
    <w:rsid w:val="00BA7E18"/>
    <w:rsid w:val="00BB21BB"/>
    <w:rsid w:val="00BB2962"/>
    <w:rsid w:val="00BB304F"/>
    <w:rsid w:val="00BB7851"/>
    <w:rsid w:val="00BC0E08"/>
    <w:rsid w:val="00BC1524"/>
    <w:rsid w:val="00BC7229"/>
    <w:rsid w:val="00BC738A"/>
    <w:rsid w:val="00BD104F"/>
    <w:rsid w:val="00BD13FF"/>
    <w:rsid w:val="00BD15A6"/>
    <w:rsid w:val="00BD24FD"/>
    <w:rsid w:val="00BD33FF"/>
    <w:rsid w:val="00BE0535"/>
    <w:rsid w:val="00BE4D85"/>
    <w:rsid w:val="00BF7428"/>
    <w:rsid w:val="00C02CBC"/>
    <w:rsid w:val="00C05C0D"/>
    <w:rsid w:val="00C10EF4"/>
    <w:rsid w:val="00C21D51"/>
    <w:rsid w:val="00C22A11"/>
    <w:rsid w:val="00C2377A"/>
    <w:rsid w:val="00C26883"/>
    <w:rsid w:val="00C3500F"/>
    <w:rsid w:val="00C3577E"/>
    <w:rsid w:val="00C40A99"/>
    <w:rsid w:val="00C52334"/>
    <w:rsid w:val="00C52F0C"/>
    <w:rsid w:val="00C53FBE"/>
    <w:rsid w:val="00C555E8"/>
    <w:rsid w:val="00C60F8E"/>
    <w:rsid w:val="00C61B66"/>
    <w:rsid w:val="00C65E12"/>
    <w:rsid w:val="00C7440E"/>
    <w:rsid w:val="00C80B70"/>
    <w:rsid w:val="00C84577"/>
    <w:rsid w:val="00C87DAF"/>
    <w:rsid w:val="00C9263F"/>
    <w:rsid w:val="00C9307E"/>
    <w:rsid w:val="00C972DF"/>
    <w:rsid w:val="00CA1EEF"/>
    <w:rsid w:val="00CA5EAD"/>
    <w:rsid w:val="00CA6111"/>
    <w:rsid w:val="00CA65FA"/>
    <w:rsid w:val="00CB06B2"/>
    <w:rsid w:val="00CB3857"/>
    <w:rsid w:val="00CB5835"/>
    <w:rsid w:val="00CC1429"/>
    <w:rsid w:val="00CC666B"/>
    <w:rsid w:val="00CC66D7"/>
    <w:rsid w:val="00CD04B7"/>
    <w:rsid w:val="00CD11EF"/>
    <w:rsid w:val="00CD2D0C"/>
    <w:rsid w:val="00CD4195"/>
    <w:rsid w:val="00CD5286"/>
    <w:rsid w:val="00CD52CB"/>
    <w:rsid w:val="00CD5673"/>
    <w:rsid w:val="00CE04E5"/>
    <w:rsid w:val="00CE15B2"/>
    <w:rsid w:val="00CE51D1"/>
    <w:rsid w:val="00CE64ED"/>
    <w:rsid w:val="00CE7F4A"/>
    <w:rsid w:val="00CF3487"/>
    <w:rsid w:val="00CF429B"/>
    <w:rsid w:val="00D05F17"/>
    <w:rsid w:val="00D063B7"/>
    <w:rsid w:val="00D06886"/>
    <w:rsid w:val="00D1322E"/>
    <w:rsid w:val="00D14B67"/>
    <w:rsid w:val="00D1513A"/>
    <w:rsid w:val="00D229E1"/>
    <w:rsid w:val="00D2533C"/>
    <w:rsid w:val="00D258B4"/>
    <w:rsid w:val="00D36749"/>
    <w:rsid w:val="00D40B9A"/>
    <w:rsid w:val="00D45562"/>
    <w:rsid w:val="00D47FF9"/>
    <w:rsid w:val="00D504B3"/>
    <w:rsid w:val="00D53080"/>
    <w:rsid w:val="00D5408C"/>
    <w:rsid w:val="00D5570C"/>
    <w:rsid w:val="00D6035F"/>
    <w:rsid w:val="00D60489"/>
    <w:rsid w:val="00D6761C"/>
    <w:rsid w:val="00D73B44"/>
    <w:rsid w:val="00D80CF1"/>
    <w:rsid w:val="00D80DA2"/>
    <w:rsid w:val="00D81B59"/>
    <w:rsid w:val="00D828D1"/>
    <w:rsid w:val="00D839E9"/>
    <w:rsid w:val="00D844C1"/>
    <w:rsid w:val="00D8498F"/>
    <w:rsid w:val="00D85514"/>
    <w:rsid w:val="00D86D78"/>
    <w:rsid w:val="00D8768F"/>
    <w:rsid w:val="00D9013D"/>
    <w:rsid w:val="00D90388"/>
    <w:rsid w:val="00D913D3"/>
    <w:rsid w:val="00D96BC7"/>
    <w:rsid w:val="00D97431"/>
    <w:rsid w:val="00D974B4"/>
    <w:rsid w:val="00DA211D"/>
    <w:rsid w:val="00DA5E0A"/>
    <w:rsid w:val="00DB4A80"/>
    <w:rsid w:val="00DB7282"/>
    <w:rsid w:val="00DC3F99"/>
    <w:rsid w:val="00DC4822"/>
    <w:rsid w:val="00DD0407"/>
    <w:rsid w:val="00DD10B1"/>
    <w:rsid w:val="00DD214D"/>
    <w:rsid w:val="00DD243C"/>
    <w:rsid w:val="00DD341D"/>
    <w:rsid w:val="00DE0835"/>
    <w:rsid w:val="00DE5E96"/>
    <w:rsid w:val="00DE6082"/>
    <w:rsid w:val="00DE668B"/>
    <w:rsid w:val="00DE66BB"/>
    <w:rsid w:val="00DF47B8"/>
    <w:rsid w:val="00E022C9"/>
    <w:rsid w:val="00E07D11"/>
    <w:rsid w:val="00E117E9"/>
    <w:rsid w:val="00E14313"/>
    <w:rsid w:val="00E25E6E"/>
    <w:rsid w:val="00E31343"/>
    <w:rsid w:val="00E31ABD"/>
    <w:rsid w:val="00E34A46"/>
    <w:rsid w:val="00E412F6"/>
    <w:rsid w:val="00E419F3"/>
    <w:rsid w:val="00E430E8"/>
    <w:rsid w:val="00E469F8"/>
    <w:rsid w:val="00E47130"/>
    <w:rsid w:val="00E51134"/>
    <w:rsid w:val="00E62F56"/>
    <w:rsid w:val="00E6319B"/>
    <w:rsid w:val="00E63B5A"/>
    <w:rsid w:val="00E70D7E"/>
    <w:rsid w:val="00E82298"/>
    <w:rsid w:val="00E8447A"/>
    <w:rsid w:val="00E8483B"/>
    <w:rsid w:val="00E87431"/>
    <w:rsid w:val="00E92E52"/>
    <w:rsid w:val="00E958CF"/>
    <w:rsid w:val="00E968A5"/>
    <w:rsid w:val="00EB64EC"/>
    <w:rsid w:val="00EB71D6"/>
    <w:rsid w:val="00EC2CF5"/>
    <w:rsid w:val="00EC7CDE"/>
    <w:rsid w:val="00ED2A1A"/>
    <w:rsid w:val="00ED4954"/>
    <w:rsid w:val="00ED642F"/>
    <w:rsid w:val="00EE0B87"/>
    <w:rsid w:val="00EE6BA3"/>
    <w:rsid w:val="00EE6C3A"/>
    <w:rsid w:val="00EF064C"/>
    <w:rsid w:val="00EF3979"/>
    <w:rsid w:val="00F0580A"/>
    <w:rsid w:val="00F05EFA"/>
    <w:rsid w:val="00F063CF"/>
    <w:rsid w:val="00F10173"/>
    <w:rsid w:val="00F13CE1"/>
    <w:rsid w:val="00F13E2F"/>
    <w:rsid w:val="00F14879"/>
    <w:rsid w:val="00F15A31"/>
    <w:rsid w:val="00F22219"/>
    <w:rsid w:val="00F2609D"/>
    <w:rsid w:val="00F345A0"/>
    <w:rsid w:val="00F3469A"/>
    <w:rsid w:val="00F35EFD"/>
    <w:rsid w:val="00F42A19"/>
    <w:rsid w:val="00F50023"/>
    <w:rsid w:val="00F51345"/>
    <w:rsid w:val="00F544A1"/>
    <w:rsid w:val="00F548E4"/>
    <w:rsid w:val="00F57583"/>
    <w:rsid w:val="00F6010E"/>
    <w:rsid w:val="00F63605"/>
    <w:rsid w:val="00F64E04"/>
    <w:rsid w:val="00F72BF7"/>
    <w:rsid w:val="00F747B4"/>
    <w:rsid w:val="00F75997"/>
    <w:rsid w:val="00F82D33"/>
    <w:rsid w:val="00F8438B"/>
    <w:rsid w:val="00F84CD0"/>
    <w:rsid w:val="00F857F9"/>
    <w:rsid w:val="00F95A26"/>
    <w:rsid w:val="00F97578"/>
    <w:rsid w:val="00FA41DF"/>
    <w:rsid w:val="00FA706F"/>
    <w:rsid w:val="00FC1E5E"/>
    <w:rsid w:val="00FC71F3"/>
    <w:rsid w:val="00FD229C"/>
    <w:rsid w:val="00FD3064"/>
    <w:rsid w:val="00FD4012"/>
    <w:rsid w:val="00FD4FA1"/>
    <w:rsid w:val="00FE2D9D"/>
    <w:rsid w:val="00FE5923"/>
    <w:rsid w:val="00FE5B68"/>
    <w:rsid w:val="00FF6B17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1466B2E-055F-4A0B-88EB-876F250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6E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544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544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544A1"/>
    <w:rPr>
      <w:rFonts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544A1"/>
    <w:rPr>
      <w:rFonts w:cs="Times New Roman"/>
      <w:b/>
      <w:bCs/>
      <w:sz w:val="36"/>
      <w:szCs w:val="36"/>
    </w:rPr>
  </w:style>
  <w:style w:type="paragraph" w:customStyle="1" w:styleId="Text">
    <w:name w:val="Text"/>
    <w:basedOn w:val="Standard"/>
    <w:uiPriority w:val="99"/>
    <w:rsid w:val="002F46E6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2F4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4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F46E6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F46E6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2F46E6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F46E6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A0D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46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E5C70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0E5C70"/>
    <w:rPr>
      <w:rFonts w:cs="Times New Roman"/>
    </w:rPr>
  </w:style>
  <w:style w:type="character" w:customStyle="1" w:styleId="location">
    <w:name w:val="location"/>
    <w:basedOn w:val="Absatz-Standardschriftart"/>
    <w:rsid w:val="00F544A1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F544A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ellenInhalt">
    <w:name w:val="Tabellen Inhalt"/>
    <w:basedOn w:val="Standard"/>
    <w:rsid w:val="008152BD"/>
    <w:pPr>
      <w:widowControl w:val="0"/>
      <w:suppressLineNumbers/>
      <w:suppressAutoHyphens/>
    </w:pPr>
    <w:rPr>
      <w:rFonts w:ascii="Times New Roman" w:hAnsi="Times New Roman" w:cs="Times New Roman"/>
      <w:kern w:val="1"/>
    </w:rPr>
  </w:style>
  <w:style w:type="paragraph" w:styleId="Listenabsatz">
    <w:name w:val="List Paragraph"/>
    <w:basedOn w:val="Standard"/>
    <w:uiPriority w:val="34"/>
    <w:qFormat/>
    <w:rsid w:val="00B90C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48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8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84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8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84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a.de/company/investo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inhart.martin@tes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hamv0405\tesa-loc001\PK%202010\Texte\Endfassungen\Deutsch\www.tesa.de\pres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7F38-6035-49B9-BDCE-39B8D6E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tesa AG</vt:lpstr>
    </vt:vector>
  </TitlesOfParts>
  <Company>Beiersdorf AG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tesa AG</dc:title>
  <dc:creator>HoeptnA</dc:creator>
  <cp:lastModifiedBy>von der Geest, Gunnar /tesa SE HAM</cp:lastModifiedBy>
  <cp:revision>17</cp:revision>
  <cp:lastPrinted>2014-02-03T13:04:00Z</cp:lastPrinted>
  <dcterms:created xsi:type="dcterms:W3CDTF">2014-02-11T12:18:00Z</dcterms:created>
  <dcterms:modified xsi:type="dcterms:W3CDTF">2014-03-04T15:33:00Z</dcterms:modified>
</cp:coreProperties>
</file>